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4E77" w14:textId="29ECEC0D" w:rsidR="006E4377" w:rsidRPr="00F278D7" w:rsidRDefault="2F0A0EB0" w:rsidP="00CB7B26">
      <w:pPr>
        <w:pStyle w:val="Heading1"/>
        <w:jc w:val="center"/>
        <w:rPr>
          <w:rFonts w:asciiTheme="minorHAnsi" w:hAnsiTheme="minorHAnsi"/>
          <w:sz w:val="32"/>
          <w:szCs w:val="32"/>
        </w:rPr>
      </w:pPr>
      <w:r w:rsidRPr="2F0A0EB0">
        <w:rPr>
          <w:rFonts w:asciiTheme="minorHAnsi" w:eastAsiaTheme="minorEastAsia" w:hAnsiTheme="minorHAnsi" w:cstheme="minorBidi"/>
          <w:sz w:val="32"/>
          <w:szCs w:val="32"/>
        </w:rPr>
        <w:t>Virtual Server Security Procedure</w:t>
      </w:r>
    </w:p>
    <w:p w14:paraId="39C2918B" w14:textId="0128680C" w:rsidR="00E81DDF" w:rsidRPr="00E15790" w:rsidRDefault="008B194B" w:rsidP="00E35B87">
      <w:pPr>
        <w:pStyle w:val="Heading1"/>
        <w:numPr>
          <w:ilvl w:val="0"/>
          <w:numId w:val="13"/>
        </w:numPr>
        <w:rPr>
          <w:rFonts w:asciiTheme="minorHAnsi" w:hAnsiTheme="minorHAnsi"/>
          <w:sz w:val="24"/>
        </w:rPr>
      </w:pPr>
      <w:r w:rsidRPr="000D3DE0">
        <w:rPr>
          <w:noProof/>
        </w:rPr>
        <mc:AlternateContent>
          <mc:Choice Requires="wps">
            <w:drawing>
              <wp:anchor distT="0" distB="0" distL="114300" distR="114300" simplePos="0" relativeHeight="251659264" behindDoc="0" locked="0" layoutInCell="1" allowOverlap="1" wp14:anchorId="14F70D14" wp14:editId="7A59F78D">
                <wp:simplePos x="0" y="0"/>
                <wp:positionH relativeFrom="column">
                  <wp:posOffset>1809750</wp:posOffset>
                </wp:positionH>
                <wp:positionV relativeFrom="paragraph">
                  <wp:posOffset>29210</wp:posOffset>
                </wp:positionV>
                <wp:extent cx="31623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3162300" cy="7620"/>
                        </a:xfrm>
                        <a:prstGeom prst="line">
                          <a:avLst/>
                        </a:prstGeom>
                        <a:noFill/>
                        <a:ln w="19050" cap="flat" cmpd="sng" algn="ctr">
                          <a:solidFill>
                            <a:srgbClr val="FF0000"/>
                          </a:solidFill>
                          <a:prstDash val="solid"/>
                          <a:miter lim="800000"/>
                        </a:ln>
                        <a:effectLst/>
                      </wps:spPr>
                      <wps:bodyPr/>
                    </wps:wsp>
                  </a:graphicData>
                </a:graphic>
              </wp:anchor>
            </w:drawing>
          </mc:Choice>
          <mc:Fallback xmlns:a="http://schemas.openxmlformats.org/drawingml/2006/main" xmlns:cx1="http://schemas.microsoft.com/office/drawing/2015/9/8/chartex">
            <w:pict>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1.5pt" from="142.5pt,2.3pt" to="391.5pt,2.9pt" w14:anchorId="7895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">
                <v:stroke joinstyle="miter"/>
              </v:line>
            </w:pict>
          </mc:Fallback>
        </mc:AlternateContent>
      </w:r>
      <w:r w:rsidR="7E7263AC" w:rsidRPr="00E15790">
        <w:rPr>
          <w:rFonts w:asciiTheme="minorHAnsi" w:hAnsiTheme="minorHAnsi"/>
          <w:sz w:val="24"/>
        </w:rPr>
        <w:t>Purpose</w:t>
      </w:r>
    </w:p>
    <w:p w14:paraId="2231B87B" w14:textId="39080506" w:rsidR="00E81DDF" w:rsidRPr="00F278D7" w:rsidRDefault="7E7263AC" w:rsidP="007053A1">
      <w:pPr>
        <w:pStyle w:val="PlainText"/>
        <w:ind w:left="360"/>
        <w:rPr>
          <w:rFonts w:asciiTheme="minorHAnsi" w:eastAsia="MS Mincho" w:hAnsiTheme="minorHAnsi" w:cs="Times New Roman"/>
          <w:b/>
          <w:bCs/>
          <w:sz w:val="22"/>
          <w:szCs w:val="22"/>
        </w:rPr>
      </w:pPr>
      <w:r w:rsidRPr="00F278D7">
        <w:rPr>
          <w:rFonts w:asciiTheme="minorHAnsi" w:eastAsiaTheme="minorEastAsia" w:hAnsiTheme="minorHAnsi" w:cstheme="minorBidi"/>
          <w:sz w:val="22"/>
          <w:szCs w:val="22"/>
        </w:rPr>
        <w:t xml:space="preserve">The purpose of this procedure is to communicate standards for the </w:t>
      </w:r>
      <w:r w:rsidR="007053A1" w:rsidRPr="00F278D7">
        <w:rPr>
          <w:rFonts w:asciiTheme="minorHAnsi" w:eastAsiaTheme="minorEastAsia" w:hAnsiTheme="minorHAnsi" w:cstheme="minorBidi"/>
          <w:sz w:val="22"/>
          <w:szCs w:val="22"/>
        </w:rPr>
        <w:t>secure</w:t>
      </w:r>
      <w:r w:rsidRPr="00F278D7">
        <w:rPr>
          <w:rFonts w:asciiTheme="minorHAnsi" w:eastAsiaTheme="minorEastAsia" w:hAnsiTheme="minorHAnsi" w:cstheme="minorBidi"/>
          <w:sz w:val="22"/>
          <w:szCs w:val="22"/>
        </w:rPr>
        <w:t xml:space="preserve"> configuration of virtual servers and hosts owned and/or operated by </w:t>
      </w:r>
      <w:r w:rsidR="00537CF1" w:rsidRPr="00537CF1">
        <w:rPr>
          <w:rFonts w:asciiTheme="minorHAnsi" w:eastAsiaTheme="minorEastAsia" w:hAnsiTheme="minorHAnsi" w:cstheme="minorBidi"/>
          <w:sz w:val="22"/>
          <w:szCs w:val="22"/>
        </w:rPr>
        <w:t>[Organization]</w:t>
      </w:r>
      <w:r w:rsidRPr="00537CF1">
        <w:rPr>
          <w:rFonts w:asciiTheme="minorHAnsi" w:eastAsiaTheme="minorEastAsia" w:hAnsiTheme="minorHAnsi" w:cstheme="minorBidi"/>
          <w:sz w:val="22"/>
          <w:szCs w:val="22"/>
        </w:rPr>
        <w:t>.</w:t>
      </w:r>
      <w:r w:rsidRPr="00F278D7">
        <w:rPr>
          <w:rFonts w:asciiTheme="minorHAnsi" w:eastAsiaTheme="minorEastAsia" w:hAnsiTheme="minorHAnsi" w:cstheme="minorBidi"/>
          <w:sz w:val="22"/>
          <w:szCs w:val="22"/>
        </w:rPr>
        <w:t xml:space="preserve">  </w:t>
      </w:r>
    </w:p>
    <w:p w14:paraId="687EFCDB" w14:textId="397057E0" w:rsidR="00E81DDF" w:rsidRPr="00E15790" w:rsidRDefault="7E7263AC" w:rsidP="00E15790">
      <w:pPr>
        <w:pStyle w:val="Heading1"/>
        <w:numPr>
          <w:ilvl w:val="0"/>
          <w:numId w:val="13"/>
        </w:numPr>
        <w:spacing w:before="120"/>
        <w:rPr>
          <w:rFonts w:asciiTheme="minorHAnsi" w:hAnsiTheme="minorHAnsi"/>
          <w:sz w:val="24"/>
        </w:rPr>
      </w:pPr>
      <w:r w:rsidRPr="00E15790">
        <w:rPr>
          <w:rFonts w:asciiTheme="minorHAnsi" w:hAnsiTheme="minorHAnsi"/>
          <w:sz w:val="24"/>
        </w:rPr>
        <w:t>Scope</w:t>
      </w:r>
    </w:p>
    <w:p w14:paraId="6AB743E9" w14:textId="194934B5" w:rsidR="00E81DDF" w:rsidRPr="00F278D7" w:rsidRDefault="007053A1" w:rsidP="00DB6BE5">
      <w:pPr>
        <w:ind w:left="360"/>
      </w:pPr>
      <w:r w:rsidRPr="00F278D7">
        <w:t xml:space="preserve">This procedure applies to virtual servers and virtual server hosts that are owned, operated, or leased by </w:t>
      </w:r>
      <w:r w:rsidR="00537CF1">
        <w:rPr>
          <w:b/>
        </w:rPr>
        <w:t>[Organization]</w:t>
      </w:r>
      <w:r w:rsidRPr="00F278D7">
        <w:t xml:space="preserve">. </w:t>
      </w:r>
      <w:r w:rsidR="7E7263AC" w:rsidRPr="00F278D7">
        <w:t xml:space="preserve">All employees, contractors, consultants, temporary and other workers at </w:t>
      </w:r>
      <w:r w:rsidR="00537CF1">
        <w:rPr>
          <w:b/>
        </w:rPr>
        <w:t>[Organization]</w:t>
      </w:r>
      <w:r w:rsidR="7E7263AC" w:rsidRPr="00F278D7">
        <w:t xml:space="preserve"> must adhere to this procedure</w:t>
      </w:r>
      <w:r w:rsidRPr="00F278D7">
        <w:t>.</w:t>
      </w:r>
    </w:p>
    <w:p w14:paraId="13B52022" w14:textId="4E663EA1" w:rsidR="00DB6BE5" w:rsidRPr="00E15790" w:rsidRDefault="7E7263AC" w:rsidP="00E15790">
      <w:pPr>
        <w:pStyle w:val="Heading1"/>
        <w:numPr>
          <w:ilvl w:val="0"/>
          <w:numId w:val="13"/>
        </w:numPr>
        <w:spacing w:before="120"/>
        <w:rPr>
          <w:rFonts w:asciiTheme="minorHAnsi" w:hAnsiTheme="minorHAnsi"/>
          <w:sz w:val="24"/>
        </w:rPr>
      </w:pPr>
      <w:r w:rsidRPr="00E15790">
        <w:rPr>
          <w:rFonts w:asciiTheme="minorHAnsi" w:hAnsiTheme="minorHAnsi"/>
          <w:sz w:val="24"/>
        </w:rPr>
        <w:t>Procedures</w:t>
      </w:r>
    </w:p>
    <w:p w14:paraId="094C761F" w14:textId="6F51D15E" w:rsidR="00F278D7" w:rsidRPr="00F278D7" w:rsidRDefault="00F278D7" w:rsidP="00F278D7">
      <w:pPr>
        <w:ind w:left="360"/>
      </w:pPr>
      <w:r w:rsidRPr="00F278D7">
        <w:t xml:space="preserve">The following restrictions shall be enforced for all hypervisor hosts and guest </w:t>
      </w:r>
      <w:bookmarkStart w:id="0" w:name="_GoBack"/>
      <w:bookmarkEnd w:id="0"/>
      <w:r w:rsidRPr="00F278D7">
        <w:t>virtual machines (VM).</w:t>
      </w:r>
    </w:p>
    <w:p w14:paraId="135F9597" w14:textId="5D7D6B93" w:rsidR="007053A1" w:rsidRPr="00F278D7" w:rsidRDefault="007053A1" w:rsidP="007053A1">
      <w:pPr>
        <w:ind w:left="360"/>
      </w:pPr>
      <w:r w:rsidRPr="00F278D7">
        <w:rPr>
          <w:b/>
          <w:bCs/>
          <w:u w:val="single"/>
        </w:rPr>
        <w:t>Administrator Access and Separation of Duties</w:t>
      </w:r>
    </w:p>
    <w:p w14:paraId="54FA763B" w14:textId="14AD4BAD" w:rsidR="007053A1" w:rsidRPr="00F278D7" w:rsidRDefault="0B125C17" w:rsidP="00F278D7">
      <w:pPr>
        <w:pStyle w:val="ListParagraph"/>
        <w:numPr>
          <w:ilvl w:val="0"/>
          <w:numId w:val="14"/>
        </w:numPr>
        <w:ind w:left="1080"/>
        <w:contextualSpacing w:val="0"/>
      </w:pPr>
      <w:r>
        <w:t>Provide server administrators with on/off rights for their servers only and no others.</w:t>
      </w:r>
    </w:p>
    <w:p w14:paraId="5CF0B3A3" w14:textId="77777777" w:rsidR="007053A1" w:rsidRPr="00F278D7" w:rsidRDefault="007053A1" w:rsidP="007053A1">
      <w:pPr>
        <w:ind w:left="360"/>
        <w:rPr>
          <w:b/>
          <w:bCs/>
          <w:u w:val="single"/>
        </w:rPr>
      </w:pPr>
      <w:r w:rsidRPr="00F278D7">
        <w:rPr>
          <w:b/>
          <w:bCs/>
          <w:u w:val="single"/>
        </w:rPr>
        <w:t>Network Security</w:t>
      </w:r>
    </w:p>
    <w:p w14:paraId="069E3021" w14:textId="47F38733" w:rsidR="007053A1" w:rsidRPr="00F278D7" w:rsidRDefault="007053A1" w:rsidP="007053A1">
      <w:pPr>
        <w:ind w:left="360"/>
      </w:pPr>
      <w:r w:rsidRPr="00F278D7">
        <w:rPr>
          <w:bCs/>
        </w:rPr>
        <w:t>The following requirements pertain to the physical network security of the Host servers:</w:t>
      </w:r>
    </w:p>
    <w:p w14:paraId="5FB056E7" w14:textId="30040C95" w:rsidR="007053A1" w:rsidRPr="00F278D7" w:rsidRDefault="0B125C17" w:rsidP="00F278D7">
      <w:pPr>
        <w:pStyle w:val="ListParagraph"/>
        <w:numPr>
          <w:ilvl w:val="0"/>
          <w:numId w:val="14"/>
        </w:numPr>
        <w:ind w:left="1080"/>
        <w:contextualSpacing w:val="0"/>
      </w:pPr>
      <w:r>
        <w:t>Disconnect all unused  Network Interface Cards (NICs) from the physical host server.</w:t>
      </w:r>
    </w:p>
    <w:p w14:paraId="399508C7" w14:textId="134741C6" w:rsidR="007053A1" w:rsidRPr="00F278D7" w:rsidRDefault="0B125C17" w:rsidP="00F278D7">
      <w:pPr>
        <w:pStyle w:val="ListParagraph"/>
        <w:numPr>
          <w:ilvl w:val="0"/>
          <w:numId w:val="14"/>
        </w:numPr>
        <w:ind w:left="1080"/>
        <w:contextualSpacing w:val="0"/>
      </w:pPr>
      <w:r>
        <w:t>All network traffic between clients and hosts, between management systems and the hypervisor, and between the hypervisor and hosts are encrypted using Secure Sockets Layer (SSL).</w:t>
      </w:r>
    </w:p>
    <w:p w14:paraId="38018738" w14:textId="383590F1" w:rsidR="007053A1" w:rsidRPr="00F278D7" w:rsidRDefault="007053A1" w:rsidP="00F278D7">
      <w:pPr>
        <w:pStyle w:val="ListParagraph"/>
        <w:numPr>
          <w:ilvl w:val="0"/>
          <w:numId w:val="14"/>
        </w:numPr>
        <w:ind w:left="1080"/>
        <w:contextualSpacing w:val="0"/>
      </w:pPr>
      <w:r w:rsidRPr="00F278D7">
        <w:t>Self-signed certificates are prohibited.</w:t>
      </w:r>
    </w:p>
    <w:p w14:paraId="5617B868" w14:textId="7A063ACC" w:rsidR="007053A1" w:rsidRPr="00F278D7" w:rsidRDefault="007053A1" w:rsidP="00F278D7">
      <w:pPr>
        <w:pStyle w:val="ListParagraph"/>
        <w:numPr>
          <w:ilvl w:val="0"/>
          <w:numId w:val="14"/>
        </w:numPr>
        <w:ind w:left="1080"/>
        <w:contextualSpacing w:val="0"/>
      </w:pPr>
      <w:r w:rsidRPr="00F278D7">
        <w:t>All virtual switches will be in promiscuous mode for monitoring purposes.</w:t>
      </w:r>
    </w:p>
    <w:p w14:paraId="5F6F8140" w14:textId="5C1B42DE" w:rsidR="007053A1" w:rsidRPr="00F278D7" w:rsidRDefault="0B125C17" w:rsidP="00F278D7">
      <w:pPr>
        <w:pStyle w:val="ListParagraph"/>
        <w:numPr>
          <w:ilvl w:val="0"/>
          <w:numId w:val="14"/>
        </w:numPr>
        <w:ind w:left="1080"/>
        <w:contextualSpacing w:val="0"/>
      </w:pPr>
      <w:r>
        <w:t>Enable and configure Media Access Control (MAC) address filtering to prevent MAC spoofing attacks.</w:t>
      </w:r>
    </w:p>
    <w:p w14:paraId="41E4C628" w14:textId="75E8410A" w:rsidR="007053A1" w:rsidRPr="00F278D7" w:rsidRDefault="007053A1" w:rsidP="007053A1">
      <w:pPr>
        <w:ind w:left="360"/>
      </w:pPr>
      <w:r w:rsidRPr="00F278D7">
        <w:rPr>
          <w:b/>
          <w:bCs/>
          <w:u w:val="single"/>
        </w:rPr>
        <w:t>Network Storage (all protocols)</w:t>
      </w:r>
    </w:p>
    <w:p w14:paraId="0092D523" w14:textId="20DDF0E9" w:rsidR="007053A1" w:rsidRPr="00F278D7" w:rsidRDefault="007053A1" w:rsidP="00F278D7">
      <w:pPr>
        <w:pStyle w:val="ListParagraph"/>
        <w:numPr>
          <w:ilvl w:val="0"/>
          <w:numId w:val="14"/>
        </w:numPr>
        <w:ind w:left="1080"/>
        <w:contextualSpacing w:val="0"/>
      </w:pPr>
      <w:r w:rsidRPr="00F278D7">
        <w:t>iSCSI and NFS should be placed on dedicated storage networks or non-routable VLANs to isolate data storage traffic from non-storage traffic.</w:t>
      </w:r>
    </w:p>
    <w:p w14:paraId="5D96ECED" w14:textId="7D6FDE3A" w:rsidR="007053A1" w:rsidRPr="00F278D7" w:rsidRDefault="007053A1" w:rsidP="00F278D7">
      <w:pPr>
        <w:pStyle w:val="ListParagraph"/>
        <w:numPr>
          <w:ilvl w:val="0"/>
          <w:numId w:val="14"/>
        </w:numPr>
        <w:ind w:left="1080"/>
        <w:contextualSpacing w:val="0"/>
      </w:pPr>
      <w:r w:rsidRPr="00F278D7">
        <w:t>enable and configure Challenge Handshake Authentication Protocol (CHAP) on all iSCSI connections prior to granting access.</w:t>
      </w:r>
    </w:p>
    <w:p w14:paraId="020C16E8" w14:textId="47AD5121" w:rsidR="007053A1" w:rsidRPr="00F278D7" w:rsidRDefault="007053A1" w:rsidP="00F278D7">
      <w:pPr>
        <w:pStyle w:val="ListParagraph"/>
        <w:numPr>
          <w:ilvl w:val="0"/>
          <w:numId w:val="14"/>
        </w:numPr>
        <w:ind w:left="1080"/>
        <w:contextualSpacing w:val="0"/>
      </w:pPr>
      <w:r w:rsidRPr="00F278D7">
        <w:t>Use physical switches to detect and disallow IP or MAC address spoofing when using iSCSI or NFS.</w:t>
      </w:r>
    </w:p>
    <w:p w14:paraId="37B08589" w14:textId="7935D8E7" w:rsidR="007053A1" w:rsidRPr="00F278D7" w:rsidRDefault="0B125C17" w:rsidP="00F278D7">
      <w:pPr>
        <w:pStyle w:val="ListParagraph"/>
        <w:numPr>
          <w:ilvl w:val="0"/>
          <w:numId w:val="14"/>
        </w:numPr>
        <w:ind w:left="1080"/>
        <w:contextualSpacing w:val="0"/>
      </w:pPr>
      <w:r>
        <w:t>Network File System (NFS): Configure the NFS server to restrict access to specific IP addresses related to your hypervisors.</w:t>
      </w:r>
    </w:p>
    <w:p w14:paraId="24D77323" w14:textId="1D5A9215" w:rsidR="007053A1" w:rsidRPr="00F278D7" w:rsidRDefault="0B125C17" w:rsidP="00F278D7">
      <w:pPr>
        <w:pStyle w:val="ListParagraph"/>
        <w:numPr>
          <w:ilvl w:val="0"/>
          <w:numId w:val="14"/>
        </w:numPr>
        <w:ind w:left="1080"/>
        <w:contextualSpacing w:val="0"/>
      </w:pPr>
      <w:r>
        <w:t>NFS: Use Internet Protocol Security (IPSec) to secure traffic between the NFS server(s) and the hypervisors.</w:t>
      </w:r>
    </w:p>
    <w:p w14:paraId="4DABA344" w14:textId="2877CF0F" w:rsidR="007053A1" w:rsidRDefault="007053A1" w:rsidP="00F278D7">
      <w:pPr>
        <w:pStyle w:val="ListParagraph"/>
        <w:numPr>
          <w:ilvl w:val="0"/>
          <w:numId w:val="14"/>
        </w:numPr>
        <w:ind w:left="1080"/>
        <w:contextualSpacing w:val="0"/>
      </w:pPr>
      <w:r w:rsidRPr="00F278D7">
        <w:t>Enable and configure Fibre Channel zoning to control access at the switch level.</w:t>
      </w:r>
    </w:p>
    <w:p w14:paraId="174F3AFC" w14:textId="7F34937A" w:rsidR="00537CF1" w:rsidRDefault="00537CF1" w:rsidP="00537CF1"/>
    <w:p w14:paraId="1F0AB6B8" w14:textId="51DFFE78" w:rsidR="00537CF1" w:rsidRDefault="00537CF1" w:rsidP="00537CF1"/>
    <w:p w14:paraId="193234E9" w14:textId="77777777" w:rsidR="00537CF1" w:rsidRPr="00F278D7" w:rsidRDefault="00537CF1" w:rsidP="00537CF1"/>
    <w:p w14:paraId="24654156" w14:textId="2E6FE585" w:rsidR="007053A1" w:rsidRPr="00F278D7" w:rsidRDefault="007053A1" w:rsidP="007053A1">
      <w:pPr>
        <w:ind w:left="360"/>
      </w:pPr>
      <w:r w:rsidRPr="00F278D7">
        <w:rPr>
          <w:b/>
          <w:bCs/>
          <w:u w:val="single"/>
        </w:rPr>
        <w:lastRenderedPageBreak/>
        <w:t>Auditing and Logging</w:t>
      </w:r>
    </w:p>
    <w:p w14:paraId="68F0C2F5" w14:textId="44FBFFD9" w:rsidR="005C0DE1" w:rsidRPr="00F278D7" w:rsidRDefault="00F278D7" w:rsidP="00F278D7">
      <w:pPr>
        <w:pStyle w:val="ListParagraph"/>
        <w:numPr>
          <w:ilvl w:val="0"/>
          <w:numId w:val="14"/>
        </w:numPr>
        <w:ind w:left="1080"/>
        <w:contextualSpacing w:val="0"/>
      </w:pPr>
      <w:r w:rsidRPr="00F278D7">
        <w:t>H</w:t>
      </w:r>
      <w:r w:rsidR="005C0DE1" w:rsidRPr="00F278D7">
        <w:t>ost logging is captured and transferred securely to a centralized to track guest O/S online status, power events, hardware configuration changes, login events related to elevated privileges and VM movement.</w:t>
      </w:r>
    </w:p>
    <w:p w14:paraId="3FACDCEE" w14:textId="298430A5" w:rsidR="005C0DE1" w:rsidRPr="00F278D7" w:rsidRDefault="007053A1" w:rsidP="00F278D7">
      <w:pPr>
        <w:pStyle w:val="ListParagraph"/>
        <w:numPr>
          <w:ilvl w:val="0"/>
          <w:numId w:val="14"/>
        </w:numPr>
        <w:ind w:left="1080"/>
        <w:contextualSpacing w:val="0"/>
      </w:pPr>
      <w:r w:rsidRPr="00F278D7">
        <w:t>Audit files should be read only and should only be read by</w:t>
      </w:r>
      <w:r w:rsidR="005C0DE1" w:rsidRPr="00F278D7">
        <w:t xml:space="preserve"> authorized staff t</w:t>
      </w:r>
      <w:r w:rsidRPr="00F278D7">
        <w:t xml:space="preserve">o ensure forensic integrity. </w:t>
      </w:r>
    </w:p>
    <w:p w14:paraId="55CED404" w14:textId="076A948B" w:rsidR="007053A1" w:rsidRPr="00F278D7" w:rsidRDefault="005D4DF8" w:rsidP="00F278D7">
      <w:pPr>
        <w:pStyle w:val="ListParagraph"/>
        <w:numPr>
          <w:ilvl w:val="0"/>
          <w:numId w:val="14"/>
        </w:numPr>
        <w:ind w:left="1080"/>
        <w:contextualSpacing w:val="0"/>
      </w:pPr>
      <w:r w:rsidRPr="00F278D7">
        <w:t>Technical Services will c</w:t>
      </w:r>
      <w:r w:rsidR="007053A1" w:rsidRPr="00F278D7">
        <w:t xml:space="preserve">onduct </w:t>
      </w:r>
      <w:r w:rsidR="005C0DE1" w:rsidRPr="00F278D7">
        <w:t>semi-annual</w:t>
      </w:r>
      <w:r w:rsidR="007053A1" w:rsidRPr="00F278D7">
        <w:t xml:space="preserve"> audits of the environment including the virtual network, storage, the hypervisor, the VMs and the management systems.</w:t>
      </w:r>
    </w:p>
    <w:p w14:paraId="2C096904" w14:textId="669E1E7A" w:rsidR="007053A1" w:rsidRPr="00F278D7" w:rsidRDefault="0B125C17" w:rsidP="00F278D7">
      <w:pPr>
        <w:pStyle w:val="ListParagraph"/>
        <w:numPr>
          <w:ilvl w:val="0"/>
          <w:numId w:val="14"/>
        </w:numPr>
        <w:ind w:left="1080"/>
        <w:contextualSpacing w:val="0"/>
      </w:pPr>
      <w:r>
        <w:t>Virtual Machine Security.</w:t>
      </w:r>
    </w:p>
    <w:p w14:paraId="000E7B13" w14:textId="61647E36" w:rsidR="007053A1" w:rsidRPr="00F278D7" w:rsidRDefault="007053A1" w:rsidP="00F278D7">
      <w:pPr>
        <w:pStyle w:val="ListParagraph"/>
        <w:numPr>
          <w:ilvl w:val="0"/>
          <w:numId w:val="14"/>
        </w:numPr>
        <w:ind w:left="1080"/>
        <w:contextualSpacing w:val="0"/>
      </w:pPr>
      <w:r w:rsidRPr="00F278D7">
        <w:t xml:space="preserve">VMs </w:t>
      </w:r>
      <w:r w:rsidR="005D4DF8" w:rsidRPr="00F278D7">
        <w:t xml:space="preserve">will not </w:t>
      </w:r>
      <w:r w:rsidRPr="00F278D7">
        <w:t xml:space="preserve">be placed on storage, backup or management networks that are </w:t>
      </w:r>
      <w:r w:rsidR="005D4DF8" w:rsidRPr="00F278D7">
        <w:t>dedicated</w:t>
      </w:r>
      <w:r w:rsidRPr="00F278D7">
        <w:t xml:space="preserve"> to the hypervisor.</w:t>
      </w:r>
    </w:p>
    <w:p w14:paraId="3304ECC1" w14:textId="3855D636" w:rsidR="005D4DF8" w:rsidRPr="00F278D7" w:rsidRDefault="005D4DF8" w:rsidP="00F278D7">
      <w:pPr>
        <w:pStyle w:val="ListParagraph"/>
        <w:numPr>
          <w:ilvl w:val="0"/>
          <w:numId w:val="14"/>
        </w:numPr>
        <w:ind w:left="1080"/>
        <w:contextualSpacing w:val="0"/>
      </w:pPr>
      <w:r w:rsidRPr="00F278D7">
        <w:t>Disable s</w:t>
      </w:r>
      <w:r w:rsidR="007053A1" w:rsidRPr="00F278D7">
        <w:t>creensavers</w:t>
      </w:r>
      <w:r w:rsidRPr="00F278D7">
        <w:t>.</w:t>
      </w:r>
    </w:p>
    <w:p w14:paraId="13521522" w14:textId="2D0614DC" w:rsidR="005D4DF8" w:rsidRPr="00F278D7" w:rsidRDefault="007053A1" w:rsidP="00F278D7">
      <w:pPr>
        <w:pStyle w:val="ListParagraph"/>
        <w:numPr>
          <w:ilvl w:val="0"/>
          <w:numId w:val="14"/>
        </w:numPr>
        <w:ind w:left="1080"/>
        <w:contextualSpacing w:val="0"/>
      </w:pPr>
      <w:r w:rsidRPr="00F278D7">
        <w:t xml:space="preserve">VMs </w:t>
      </w:r>
      <w:r w:rsidR="005D4DF8" w:rsidRPr="00F278D7">
        <w:t xml:space="preserve">will be configured so as to have no </w:t>
      </w:r>
      <w:r w:rsidRPr="00F278D7">
        <w:t>access or view</w:t>
      </w:r>
      <w:r w:rsidR="005D4DF8" w:rsidRPr="00F278D7">
        <w:t xml:space="preserve"> to</w:t>
      </w:r>
      <w:r w:rsidRPr="00F278D7">
        <w:t xml:space="preserve"> the resources used by the kernel or host.</w:t>
      </w:r>
    </w:p>
    <w:p w14:paraId="09D1C539" w14:textId="1155E811" w:rsidR="005D4DF8" w:rsidRPr="00F278D7" w:rsidRDefault="005D4DF8" w:rsidP="00F278D7">
      <w:pPr>
        <w:pStyle w:val="ListParagraph"/>
        <w:numPr>
          <w:ilvl w:val="0"/>
          <w:numId w:val="14"/>
        </w:numPr>
        <w:ind w:left="1080"/>
        <w:contextualSpacing w:val="0"/>
      </w:pPr>
      <w:r w:rsidRPr="00F278D7">
        <w:t xml:space="preserve">Technical Services shall maintain a log of </w:t>
      </w:r>
      <w:r w:rsidR="007053A1" w:rsidRPr="00F278D7">
        <w:t>all running VMs</w:t>
      </w:r>
      <w:r w:rsidRPr="00F278D7">
        <w:t>.</w:t>
      </w:r>
    </w:p>
    <w:p w14:paraId="2B67DF7C" w14:textId="063EAFF5" w:rsidR="007053A1" w:rsidRPr="00F278D7" w:rsidRDefault="005D4DF8" w:rsidP="00F278D7">
      <w:pPr>
        <w:pStyle w:val="ListParagraph"/>
        <w:numPr>
          <w:ilvl w:val="0"/>
          <w:numId w:val="14"/>
        </w:numPr>
        <w:ind w:left="1080"/>
        <w:contextualSpacing w:val="0"/>
      </w:pPr>
      <w:r w:rsidRPr="00F278D7">
        <w:t>U</w:t>
      </w:r>
      <w:r w:rsidR="007053A1" w:rsidRPr="00F278D7">
        <w:t>nused VMs</w:t>
      </w:r>
      <w:r w:rsidRPr="00F278D7">
        <w:t xml:space="preserve"> shall be powered off</w:t>
      </w:r>
      <w:r w:rsidR="007053A1" w:rsidRPr="00F278D7">
        <w:t>.</w:t>
      </w:r>
    </w:p>
    <w:p w14:paraId="4AF56107" w14:textId="0EB331AA" w:rsidR="007053A1" w:rsidRPr="00F278D7" w:rsidRDefault="007053A1" w:rsidP="00F278D7">
      <w:pPr>
        <w:pStyle w:val="ListParagraph"/>
        <w:numPr>
          <w:ilvl w:val="0"/>
          <w:numId w:val="14"/>
        </w:numPr>
        <w:ind w:left="1080"/>
        <w:contextualSpacing w:val="0"/>
      </w:pPr>
      <w:r w:rsidRPr="00F278D7">
        <w:t xml:space="preserve">Unused hardware ports </w:t>
      </w:r>
      <w:r w:rsidR="005D4DF8" w:rsidRPr="00F278D7">
        <w:t>shall</w:t>
      </w:r>
      <w:r w:rsidRPr="00F278D7">
        <w:t xml:space="preserve"> be disabled.</w:t>
      </w:r>
    </w:p>
    <w:p w14:paraId="23AE1500" w14:textId="3547F1DD" w:rsidR="005D4DF8" w:rsidRPr="00F278D7" w:rsidRDefault="005D4DF8" w:rsidP="00F278D7">
      <w:pPr>
        <w:pStyle w:val="ListParagraph"/>
        <w:numPr>
          <w:ilvl w:val="0"/>
          <w:numId w:val="14"/>
        </w:numPr>
        <w:ind w:left="1080"/>
        <w:contextualSpacing w:val="0"/>
      </w:pPr>
      <w:r w:rsidRPr="00F278D7">
        <w:t>Enable guest access to p</w:t>
      </w:r>
      <w:r w:rsidR="007053A1" w:rsidRPr="00F278D7">
        <w:t xml:space="preserve">hysical devices </w:t>
      </w:r>
      <w:r w:rsidRPr="00F278D7">
        <w:t>on the host on an as-needed basis.</w:t>
      </w:r>
    </w:p>
    <w:p w14:paraId="29F84F6A" w14:textId="79F2C1C3" w:rsidR="007053A1" w:rsidRPr="00F278D7" w:rsidRDefault="005D4DF8" w:rsidP="00F278D7">
      <w:pPr>
        <w:pStyle w:val="ListParagraph"/>
        <w:numPr>
          <w:ilvl w:val="0"/>
          <w:numId w:val="14"/>
        </w:numPr>
        <w:ind w:left="1080"/>
        <w:contextualSpacing w:val="0"/>
      </w:pPr>
      <w:r w:rsidRPr="00F278D7">
        <w:t>Em</w:t>
      </w:r>
      <w:r w:rsidR="007053A1" w:rsidRPr="00F278D7">
        <w:t>ploy</w:t>
      </w:r>
      <w:r w:rsidRPr="00F278D7">
        <w:t xml:space="preserve"> the use of</w:t>
      </w:r>
      <w:r w:rsidR="007053A1" w:rsidRPr="00F278D7">
        <w:t xml:space="preserve"> VLANs within a single vswitch to segment traffic.</w:t>
      </w:r>
    </w:p>
    <w:p w14:paraId="360B5400" w14:textId="26226A36" w:rsidR="007053A1" w:rsidRPr="00F278D7" w:rsidRDefault="007053A1" w:rsidP="00F278D7">
      <w:pPr>
        <w:pStyle w:val="ListParagraph"/>
        <w:numPr>
          <w:ilvl w:val="0"/>
          <w:numId w:val="14"/>
        </w:numPr>
        <w:ind w:left="1080"/>
        <w:contextualSpacing w:val="0"/>
      </w:pPr>
      <w:r w:rsidRPr="00F278D7">
        <w:t xml:space="preserve">Isolate </w:t>
      </w:r>
      <w:r w:rsidR="005D4DF8" w:rsidRPr="00F278D7">
        <w:t>VM</w:t>
      </w:r>
      <w:r w:rsidRPr="00F278D7">
        <w:t xml:space="preserve"> motion traffic from the production network </w:t>
      </w:r>
      <w:r w:rsidR="005D4DF8" w:rsidRPr="00F278D7">
        <w:t>to</w:t>
      </w:r>
      <w:r w:rsidRPr="00F278D7">
        <w:t xml:space="preserve"> an isolated segment that is non-routable and configured with a separate vswitch or VLAN.</w:t>
      </w:r>
    </w:p>
    <w:p w14:paraId="4C05B4A9" w14:textId="231530ED" w:rsidR="007053A1" w:rsidRPr="00F278D7" w:rsidRDefault="007053A1" w:rsidP="00F278D7">
      <w:pPr>
        <w:pStyle w:val="ListParagraph"/>
        <w:numPr>
          <w:ilvl w:val="0"/>
          <w:numId w:val="14"/>
        </w:numPr>
        <w:ind w:left="1080"/>
        <w:contextualSpacing w:val="0"/>
      </w:pPr>
      <w:r w:rsidRPr="00F278D7">
        <w:t xml:space="preserve">VMs </w:t>
      </w:r>
      <w:r w:rsidR="005D4DF8" w:rsidRPr="00F278D7">
        <w:t>shall be configured so as to</w:t>
      </w:r>
      <w:r w:rsidRPr="00F278D7">
        <w:t xml:space="preserve"> not directly access a VM data store or repository.</w:t>
      </w:r>
    </w:p>
    <w:p w14:paraId="5968018C" w14:textId="6A0DC4A1" w:rsidR="007053A1" w:rsidRPr="00F278D7" w:rsidRDefault="005D4DF8" w:rsidP="00F278D7">
      <w:pPr>
        <w:pStyle w:val="ListParagraph"/>
        <w:numPr>
          <w:ilvl w:val="0"/>
          <w:numId w:val="14"/>
        </w:numPr>
        <w:ind w:left="1080"/>
        <w:contextualSpacing w:val="0"/>
      </w:pPr>
      <w:r w:rsidRPr="00F278D7">
        <w:t>A</w:t>
      </w:r>
      <w:r w:rsidR="007053A1" w:rsidRPr="00F278D7">
        <w:t>ccess to dormant VMs</w:t>
      </w:r>
      <w:r w:rsidRPr="00F278D7">
        <w:t xml:space="preserve"> is restricted to the Operations staff</w:t>
      </w:r>
      <w:r w:rsidR="007053A1" w:rsidRPr="00F278D7">
        <w:t>.</w:t>
      </w:r>
    </w:p>
    <w:p w14:paraId="5801019B" w14:textId="1B6D5477" w:rsidR="007053A1" w:rsidRPr="00F278D7" w:rsidRDefault="007053A1" w:rsidP="00F278D7">
      <w:pPr>
        <w:pStyle w:val="ListParagraph"/>
        <w:numPr>
          <w:ilvl w:val="0"/>
          <w:numId w:val="14"/>
        </w:numPr>
        <w:ind w:left="1080"/>
        <w:contextualSpacing w:val="0"/>
      </w:pPr>
      <w:r w:rsidRPr="00F278D7">
        <w:t>VMs</w:t>
      </w:r>
      <w:r w:rsidR="005D4DF8" w:rsidRPr="00F278D7">
        <w:t xml:space="preserve"> shall be created </w:t>
      </w:r>
      <w:r w:rsidRPr="00F278D7">
        <w:t>from an authorized template</w:t>
      </w:r>
      <w:r w:rsidR="005D4DF8" w:rsidRPr="00F278D7">
        <w:t xml:space="preserve"> only</w:t>
      </w:r>
      <w:r w:rsidRPr="00F278D7">
        <w:t>.</w:t>
      </w:r>
    </w:p>
    <w:p w14:paraId="625BDC78" w14:textId="5B28D7E4" w:rsidR="005D4DF8" w:rsidRPr="00F278D7" w:rsidRDefault="005D4DF8" w:rsidP="00F278D7">
      <w:pPr>
        <w:pStyle w:val="ListParagraph"/>
        <w:numPr>
          <w:ilvl w:val="0"/>
          <w:numId w:val="14"/>
        </w:numPr>
        <w:ind w:left="1080"/>
        <w:contextualSpacing w:val="0"/>
      </w:pPr>
      <w:r w:rsidRPr="00F278D7">
        <w:t>Validate the guest operating system update levels monthly.</w:t>
      </w:r>
    </w:p>
    <w:p w14:paraId="6B69C569" w14:textId="09E5F0F2" w:rsidR="007053A1" w:rsidRPr="00F278D7" w:rsidRDefault="007053A1" w:rsidP="00F278D7">
      <w:pPr>
        <w:pStyle w:val="ListParagraph"/>
        <w:numPr>
          <w:ilvl w:val="0"/>
          <w:numId w:val="14"/>
        </w:numPr>
        <w:ind w:left="1080"/>
        <w:contextualSpacing w:val="0"/>
      </w:pPr>
      <w:r w:rsidRPr="00F278D7">
        <w:t xml:space="preserve">Disable </w:t>
      </w:r>
      <w:r w:rsidR="005D4DF8" w:rsidRPr="00F278D7">
        <w:t>all</w:t>
      </w:r>
      <w:r w:rsidRPr="00F278D7">
        <w:t xml:space="preserve"> copy- paste functionality</w:t>
      </w:r>
      <w:r w:rsidR="005D4DF8" w:rsidRPr="00F278D7">
        <w:t xml:space="preserve"> between hypervisor and VM</w:t>
      </w:r>
      <w:r w:rsidRPr="00F278D7">
        <w:t>.</w:t>
      </w:r>
    </w:p>
    <w:p w14:paraId="778BDE56" w14:textId="581A4FCC" w:rsidR="007053A1" w:rsidRPr="00F278D7" w:rsidRDefault="007053A1" w:rsidP="00F278D7">
      <w:pPr>
        <w:ind w:left="360"/>
        <w:rPr>
          <w:b/>
          <w:u w:val="single"/>
        </w:rPr>
      </w:pPr>
      <w:r w:rsidRPr="00F278D7">
        <w:rPr>
          <w:b/>
          <w:u w:val="single"/>
        </w:rPr>
        <w:t>Management Systems</w:t>
      </w:r>
    </w:p>
    <w:p w14:paraId="733CE85E" w14:textId="627D0CCA" w:rsidR="005D4DF8" w:rsidRPr="00F278D7" w:rsidRDefault="005D4DF8" w:rsidP="00F278D7">
      <w:pPr>
        <w:pStyle w:val="ListParagraph"/>
        <w:numPr>
          <w:ilvl w:val="0"/>
          <w:numId w:val="14"/>
        </w:numPr>
        <w:ind w:left="1080"/>
        <w:contextualSpacing w:val="0"/>
      </w:pPr>
      <w:r w:rsidRPr="00F278D7">
        <w:t>C</w:t>
      </w:r>
      <w:r w:rsidR="007053A1" w:rsidRPr="00F278D7">
        <w:t xml:space="preserve">ommunications between management systems and the hosts </w:t>
      </w:r>
      <w:r w:rsidRPr="00F278D7">
        <w:t>shall be via secure, encrypted links.</w:t>
      </w:r>
    </w:p>
    <w:p w14:paraId="5155818E" w14:textId="726091D9" w:rsidR="005D4DF8" w:rsidRPr="00F278D7" w:rsidRDefault="005D4DF8" w:rsidP="00F278D7">
      <w:pPr>
        <w:pStyle w:val="ListParagraph"/>
        <w:numPr>
          <w:ilvl w:val="0"/>
          <w:numId w:val="14"/>
        </w:numPr>
        <w:ind w:left="1080"/>
        <w:contextualSpacing w:val="0"/>
      </w:pPr>
      <w:r w:rsidRPr="00F278D7">
        <w:t>Limit workstation access to the hypervisor</w:t>
      </w:r>
      <w:r w:rsidR="007053A1" w:rsidRPr="00F278D7">
        <w:t xml:space="preserve"> management server to </w:t>
      </w:r>
      <w:r w:rsidRPr="00F278D7">
        <w:t>authorized staff only.</w:t>
      </w:r>
    </w:p>
    <w:p w14:paraId="4F41AB13" w14:textId="4245E8FA" w:rsidR="00431C2C" w:rsidRPr="00F278D7" w:rsidRDefault="00F278D7" w:rsidP="00557B9D">
      <w:pPr>
        <w:pStyle w:val="ListParagraph"/>
        <w:ind w:left="360"/>
        <w:rPr>
          <w:b/>
          <w:u w:val="single"/>
        </w:rPr>
      </w:pPr>
      <w:r w:rsidRPr="00F278D7">
        <w:rPr>
          <w:b/>
          <w:u w:val="single"/>
        </w:rPr>
        <w:t xml:space="preserve">Guest </w:t>
      </w:r>
      <w:r w:rsidR="00431C2C" w:rsidRPr="00F278D7">
        <w:rPr>
          <w:b/>
          <w:u w:val="single"/>
        </w:rPr>
        <w:t>operating system</w:t>
      </w:r>
      <w:r w:rsidR="005046F8" w:rsidRPr="00F278D7">
        <w:rPr>
          <w:b/>
          <w:u w:val="single"/>
        </w:rPr>
        <w:t>s</w:t>
      </w:r>
    </w:p>
    <w:p w14:paraId="5C057A34" w14:textId="77777777" w:rsidR="00F278D7" w:rsidRPr="00F278D7" w:rsidRDefault="005046F8" w:rsidP="00F278D7">
      <w:pPr>
        <w:pStyle w:val="ListParagraph"/>
        <w:numPr>
          <w:ilvl w:val="0"/>
          <w:numId w:val="14"/>
        </w:numPr>
        <w:ind w:left="1080"/>
        <w:contextualSpacing w:val="0"/>
      </w:pPr>
      <w:r w:rsidRPr="00F278D7">
        <w:t>Virtual Machine operating systems must be supported by both the operating system vendor and the hyper</w:t>
      </w:r>
      <w:r w:rsidR="00F278D7" w:rsidRPr="00F278D7">
        <w:t>visor that they are running on.</w:t>
      </w:r>
    </w:p>
    <w:p w14:paraId="57A38476" w14:textId="77777777" w:rsidR="00F278D7" w:rsidRPr="00F278D7" w:rsidRDefault="005046F8" w:rsidP="00F278D7">
      <w:pPr>
        <w:pStyle w:val="ListParagraph"/>
        <w:numPr>
          <w:ilvl w:val="0"/>
          <w:numId w:val="14"/>
        </w:numPr>
        <w:ind w:left="1080"/>
        <w:contextualSpacing w:val="0"/>
      </w:pPr>
      <w:r w:rsidRPr="00F278D7">
        <w:t xml:space="preserve"> All virtual servers must be receive applicable security updates within 60 days of their release.</w:t>
      </w:r>
    </w:p>
    <w:p w14:paraId="54000493" w14:textId="77777777" w:rsidR="00F278D7" w:rsidRPr="00F278D7" w:rsidRDefault="005046F8" w:rsidP="00F278D7">
      <w:pPr>
        <w:pStyle w:val="ListParagraph"/>
        <w:numPr>
          <w:ilvl w:val="0"/>
          <w:numId w:val="14"/>
        </w:numPr>
        <w:ind w:left="1080"/>
        <w:contextualSpacing w:val="0"/>
      </w:pPr>
      <w:r w:rsidRPr="00F278D7">
        <w:t>Virtual Machine templates must also receive Microsoft or other applicable software updates on a monthly basis.</w:t>
      </w:r>
    </w:p>
    <w:p w14:paraId="5DFAA047" w14:textId="42E16EF8" w:rsidR="00B3125D" w:rsidRPr="00E15790" w:rsidRDefault="00B3125D" w:rsidP="00E15790">
      <w:pPr>
        <w:pStyle w:val="Heading1"/>
        <w:numPr>
          <w:ilvl w:val="0"/>
          <w:numId w:val="13"/>
        </w:numPr>
        <w:spacing w:before="120"/>
        <w:rPr>
          <w:rFonts w:asciiTheme="minorHAnsi" w:hAnsiTheme="minorHAnsi"/>
          <w:sz w:val="24"/>
        </w:rPr>
      </w:pPr>
      <w:r w:rsidRPr="00E15790">
        <w:rPr>
          <w:rFonts w:asciiTheme="minorHAnsi" w:hAnsiTheme="minorHAnsi"/>
          <w:sz w:val="24"/>
        </w:rPr>
        <w:t>Compliance</w:t>
      </w:r>
    </w:p>
    <w:p w14:paraId="72E3BDD9" w14:textId="49535EB9" w:rsidR="00B3125D" w:rsidRPr="00F278D7" w:rsidRDefault="0B125C17" w:rsidP="00B3125D">
      <w:pPr>
        <w:ind w:left="360"/>
      </w:pPr>
      <w:r w:rsidRPr="0B125C17">
        <w:rPr>
          <w:rFonts w:eastAsiaTheme="minorEastAsia"/>
        </w:rPr>
        <w:t xml:space="preserve">Technical Services will verify compliance to this procedure through various methods, including but not limited to, periodic walk-throughs, video monitoring, business tool reports, internal and external audits, and feedback to the procedure owner.  </w:t>
      </w:r>
    </w:p>
    <w:p w14:paraId="25F729EA" w14:textId="6C3F74C7" w:rsidR="00B3125D" w:rsidRPr="00E15790" w:rsidRDefault="0B125C17" w:rsidP="0B125C17">
      <w:pPr>
        <w:pStyle w:val="Heading1"/>
        <w:numPr>
          <w:ilvl w:val="0"/>
          <w:numId w:val="13"/>
        </w:numPr>
        <w:spacing w:before="120"/>
        <w:rPr>
          <w:rFonts w:asciiTheme="minorHAnsi" w:eastAsiaTheme="minorEastAsia" w:hAnsiTheme="minorHAnsi" w:cstheme="minorBidi"/>
          <w:sz w:val="24"/>
          <w:szCs w:val="24"/>
        </w:rPr>
      </w:pPr>
      <w:r w:rsidRPr="0B125C17">
        <w:rPr>
          <w:rFonts w:asciiTheme="minorHAnsi" w:eastAsiaTheme="minorEastAsia" w:hAnsiTheme="minorHAnsi" w:cstheme="minorBidi"/>
          <w:sz w:val="24"/>
          <w:szCs w:val="24"/>
        </w:rPr>
        <w:lastRenderedPageBreak/>
        <w:t>Exceptions</w:t>
      </w:r>
    </w:p>
    <w:p w14:paraId="555BBE13" w14:textId="3228EB60" w:rsidR="0B125C17" w:rsidRDefault="0B125C17" w:rsidP="0B125C17">
      <w:pPr>
        <w:ind w:left="720"/>
      </w:pPr>
      <w:r w:rsidRPr="0B125C17">
        <w:rPr>
          <w:rFonts w:ascii="Calibri" w:eastAsia="Calibri" w:hAnsi="Calibri" w:cs="Calibri"/>
        </w:rPr>
        <w:t xml:space="preserve">Limited exceptions to the procedure must be approved by the </w:t>
      </w:r>
      <w:r w:rsidR="00537CF1">
        <w:rPr>
          <w:rFonts w:ascii="Calibri" w:eastAsia="Calibri" w:hAnsi="Calibri" w:cs="Calibri"/>
          <w:b/>
        </w:rPr>
        <w:t>[management]</w:t>
      </w:r>
      <w:r w:rsidRPr="0B125C17">
        <w:rPr>
          <w:rFonts w:ascii="Calibri" w:eastAsia="Calibri" w:hAnsi="Calibri" w:cs="Calibri"/>
        </w:rPr>
        <w:t>.</w:t>
      </w:r>
    </w:p>
    <w:p w14:paraId="767A96F3" w14:textId="35C669AD" w:rsidR="00B3125D" w:rsidRPr="00E15790" w:rsidRDefault="00B3125D" w:rsidP="00E15790">
      <w:pPr>
        <w:pStyle w:val="Heading1"/>
        <w:numPr>
          <w:ilvl w:val="0"/>
          <w:numId w:val="13"/>
        </w:numPr>
        <w:spacing w:before="120"/>
        <w:rPr>
          <w:rFonts w:asciiTheme="minorHAnsi" w:hAnsiTheme="minorHAnsi"/>
          <w:sz w:val="24"/>
        </w:rPr>
      </w:pPr>
      <w:r w:rsidRPr="00E15790">
        <w:rPr>
          <w:rFonts w:asciiTheme="minorHAnsi" w:hAnsiTheme="minorHAnsi"/>
          <w:sz w:val="24"/>
        </w:rPr>
        <w:t>Non-Compliance</w:t>
      </w:r>
    </w:p>
    <w:p w14:paraId="5D7F1A06" w14:textId="1B900DB3" w:rsidR="7E7263AC" w:rsidRPr="00F278D7" w:rsidRDefault="00F278D7" w:rsidP="00F278D7">
      <w:pPr>
        <w:pStyle w:val="ListParagraph"/>
        <w:ind w:left="360"/>
      </w:pPr>
      <w:r w:rsidRPr="00F278D7">
        <w:t>Failure to comply with this Virtual Server Security</w:t>
      </w:r>
      <w:r w:rsidR="7E7263AC" w:rsidRPr="00F278D7">
        <w:t xml:space="preserve"> Procedure may, at the full discretion of the organization, result in the suspension of any or all technology use and connectivity privileges, disciplinary action, and possibly termination of employment.</w:t>
      </w:r>
    </w:p>
    <w:p w14:paraId="43B83DD3" w14:textId="45532C15" w:rsidR="00B3125D" w:rsidRPr="00E15790" w:rsidRDefault="00B3125D" w:rsidP="00E15790">
      <w:pPr>
        <w:pStyle w:val="Heading1"/>
        <w:numPr>
          <w:ilvl w:val="0"/>
          <w:numId w:val="13"/>
        </w:numPr>
        <w:spacing w:before="120"/>
        <w:rPr>
          <w:rFonts w:asciiTheme="minorHAnsi" w:hAnsiTheme="minorHAnsi"/>
          <w:sz w:val="24"/>
        </w:rPr>
      </w:pPr>
      <w:r w:rsidRPr="00E15790">
        <w:rPr>
          <w:rFonts w:asciiTheme="minorHAnsi" w:eastAsia="Times New Roman" w:hAnsiTheme="minorHAnsi"/>
          <w:sz w:val="24"/>
        </w:rPr>
        <w:t>Related Procedures</w:t>
      </w:r>
    </w:p>
    <w:p w14:paraId="0E28AF5B" w14:textId="2B1B7AAB" w:rsidR="00B3125D" w:rsidRPr="00F278D7" w:rsidRDefault="0B125C17" w:rsidP="0B125C17">
      <w:pPr>
        <w:pStyle w:val="ListParagraph"/>
        <w:numPr>
          <w:ilvl w:val="0"/>
          <w:numId w:val="10"/>
        </w:numPr>
        <w:rPr>
          <w:rFonts w:eastAsiaTheme="minorEastAsia"/>
        </w:rPr>
      </w:pPr>
      <w:r w:rsidRPr="0B125C17">
        <w:t>Decommissioning Procedure</w:t>
      </w:r>
    </w:p>
    <w:p w14:paraId="0D0EC4FC" w14:textId="1675764C" w:rsidR="001F5998" w:rsidRPr="00F278D7" w:rsidRDefault="00537CF1" w:rsidP="0B125C17">
      <w:pPr>
        <w:pStyle w:val="ListParagraph"/>
        <w:numPr>
          <w:ilvl w:val="0"/>
          <w:numId w:val="10"/>
        </w:numPr>
        <w:rPr>
          <w:rFonts w:ascii="Times New Roman" w:eastAsia="Times New Roman" w:hAnsi="Times New Roman" w:cs="Times New Roman"/>
        </w:rPr>
      </w:pPr>
      <w:r>
        <w:t>P</w:t>
      </w:r>
      <w:r w:rsidR="0B125C17" w:rsidRPr="0B125C17">
        <w:t>assword Procedure</w:t>
      </w:r>
    </w:p>
    <w:p w14:paraId="7D07332A" w14:textId="77777777" w:rsidR="00B3125D" w:rsidRPr="00B3125D" w:rsidRDefault="00B3125D" w:rsidP="00B3125D">
      <w:pPr>
        <w:ind w:left="360"/>
      </w:pPr>
    </w:p>
    <w:sectPr w:rsidR="00B3125D" w:rsidRPr="00B3125D" w:rsidSect="008B194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795D" w14:textId="77777777" w:rsidR="00B12131" w:rsidRDefault="00B12131" w:rsidP="00E15790">
      <w:pPr>
        <w:spacing w:after="0" w:line="240" w:lineRule="auto"/>
      </w:pPr>
      <w:r>
        <w:separator/>
      </w:r>
    </w:p>
  </w:endnote>
  <w:endnote w:type="continuationSeparator" w:id="0">
    <w:p w14:paraId="704449FA" w14:textId="77777777" w:rsidR="00B12131" w:rsidRDefault="00B12131" w:rsidP="00E1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4F139" w14:textId="77777777" w:rsidR="00B12131" w:rsidRDefault="00B12131" w:rsidP="00E15790">
      <w:pPr>
        <w:spacing w:after="0" w:line="240" w:lineRule="auto"/>
      </w:pPr>
      <w:r>
        <w:separator/>
      </w:r>
    </w:p>
  </w:footnote>
  <w:footnote w:type="continuationSeparator" w:id="0">
    <w:p w14:paraId="65BA544D" w14:textId="77777777" w:rsidR="00B12131" w:rsidRDefault="00B12131" w:rsidP="00E15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92"/>
    <w:multiLevelType w:val="multilevel"/>
    <w:tmpl w:val="221E3B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035811"/>
    <w:multiLevelType w:val="multilevel"/>
    <w:tmpl w:val="817E4B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B83302"/>
    <w:multiLevelType w:val="hybridMultilevel"/>
    <w:tmpl w:val="987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5205"/>
    <w:multiLevelType w:val="multilevel"/>
    <w:tmpl w:val="7BCA97FC"/>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D992E67"/>
    <w:multiLevelType w:val="multilevel"/>
    <w:tmpl w:val="E7E4D92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15:restartNumberingAfterBreak="0">
    <w:nsid w:val="2202693B"/>
    <w:multiLevelType w:val="multilevel"/>
    <w:tmpl w:val="911436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C4F71AD"/>
    <w:multiLevelType w:val="hybridMultilevel"/>
    <w:tmpl w:val="0BD67FB4"/>
    <w:lvl w:ilvl="0" w:tplc="58C04C7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B451C"/>
    <w:multiLevelType w:val="multilevel"/>
    <w:tmpl w:val="07EEAE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C16D6"/>
    <w:multiLevelType w:val="multilevel"/>
    <w:tmpl w:val="A044FB8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BF80C27"/>
    <w:multiLevelType w:val="hybridMultilevel"/>
    <w:tmpl w:val="B4F843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C21C2B"/>
    <w:multiLevelType w:val="multilevel"/>
    <w:tmpl w:val="BE52CF2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E961758"/>
    <w:multiLevelType w:val="hybridMultilevel"/>
    <w:tmpl w:val="CC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6"/>
  </w:num>
  <w:num w:numId="7">
    <w:abstractNumId w:val="5"/>
  </w:num>
  <w:num w:numId="8">
    <w:abstractNumId w:val="1"/>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2C"/>
    <w:rsid w:val="0009247F"/>
    <w:rsid w:val="001F3CDF"/>
    <w:rsid w:val="001F5998"/>
    <w:rsid w:val="0021061C"/>
    <w:rsid w:val="00380561"/>
    <w:rsid w:val="00431C2C"/>
    <w:rsid w:val="00435D9D"/>
    <w:rsid w:val="005046F8"/>
    <w:rsid w:val="005119D6"/>
    <w:rsid w:val="00537CF1"/>
    <w:rsid w:val="00557B9D"/>
    <w:rsid w:val="005C0DE1"/>
    <w:rsid w:val="005D4DF8"/>
    <w:rsid w:val="006327EB"/>
    <w:rsid w:val="006E4377"/>
    <w:rsid w:val="007053A1"/>
    <w:rsid w:val="007E780D"/>
    <w:rsid w:val="00847384"/>
    <w:rsid w:val="008B194B"/>
    <w:rsid w:val="00A95445"/>
    <w:rsid w:val="00AF6CCD"/>
    <w:rsid w:val="00B12131"/>
    <w:rsid w:val="00B3125D"/>
    <w:rsid w:val="00CB7B26"/>
    <w:rsid w:val="00DB6BE5"/>
    <w:rsid w:val="00E15790"/>
    <w:rsid w:val="00E35B87"/>
    <w:rsid w:val="00E81DDF"/>
    <w:rsid w:val="00E9154C"/>
    <w:rsid w:val="00F278D7"/>
    <w:rsid w:val="0B125C17"/>
    <w:rsid w:val="2F0A0EB0"/>
    <w:rsid w:val="7E72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10AD"/>
  <w15:chartTrackingRefBased/>
  <w15:docId w15:val="{130D2645-ED33-411B-B22D-4F1E0B9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D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DF"/>
    <w:pPr>
      <w:ind w:left="720"/>
      <w:contextualSpacing/>
    </w:pPr>
  </w:style>
  <w:style w:type="paragraph" w:styleId="PlainText">
    <w:name w:val="Plain Text"/>
    <w:basedOn w:val="Normal"/>
    <w:link w:val="PlainTextChar"/>
    <w:unhideWhenUsed/>
    <w:rsid w:val="00E81D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81DD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81DDF"/>
    <w:rPr>
      <w:rFonts w:asciiTheme="majorHAnsi" w:eastAsiaTheme="majorEastAsia" w:hAnsiTheme="majorHAnsi" w:cstheme="majorBidi"/>
      <w:b/>
      <w:bCs/>
      <w:color w:val="2E74B5" w:themeColor="accent1" w:themeShade="BF"/>
      <w:sz w:val="28"/>
      <w:szCs w:val="28"/>
    </w:rPr>
  </w:style>
  <w:style w:type="table" w:styleId="MediumShading1-Accent1">
    <w:name w:val="Medium Shading 1 Accent 1"/>
    <w:basedOn w:val="TableNormal"/>
    <w:uiPriority w:val="63"/>
    <w:semiHidden/>
    <w:unhideWhenUsed/>
    <w:rsid w:val="00B3125D"/>
    <w:pPr>
      <w:spacing w:after="0" w:line="240" w:lineRule="auto"/>
    </w:p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26"/>
    <w:rPr>
      <w:rFonts w:ascii="Segoe UI" w:hAnsi="Segoe UI" w:cs="Segoe UI"/>
      <w:sz w:val="18"/>
      <w:szCs w:val="18"/>
    </w:rPr>
  </w:style>
  <w:style w:type="paragraph" w:styleId="Header">
    <w:name w:val="header"/>
    <w:basedOn w:val="Normal"/>
    <w:link w:val="HeaderChar"/>
    <w:uiPriority w:val="99"/>
    <w:unhideWhenUsed/>
    <w:rsid w:val="00E1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90"/>
  </w:style>
  <w:style w:type="paragraph" w:styleId="Footer">
    <w:name w:val="footer"/>
    <w:basedOn w:val="Normal"/>
    <w:link w:val="FooterChar"/>
    <w:uiPriority w:val="99"/>
    <w:unhideWhenUsed/>
    <w:rsid w:val="00E1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90"/>
  </w:style>
  <w:style w:type="table" w:styleId="TableGridLight">
    <w:name w:val="Grid Table Light"/>
    <w:basedOn w:val="TableNormal"/>
    <w:uiPriority w:val="40"/>
    <w:rsid w:val="002106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7387">
      <w:bodyDiv w:val="1"/>
      <w:marLeft w:val="0"/>
      <w:marRight w:val="0"/>
      <w:marTop w:val="0"/>
      <w:marBottom w:val="0"/>
      <w:divBdr>
        <w:top w:val="none" w:sz="0" w:space="0" w:color="auto"/>
        <w:left w:val="none" w:sz="0" w:space="0" w:color="auto"/>
        <w:bottom w:val="none" w:sz="0" w:space="0" w:color="auto"/>
        <w:right w:val="none" w:sz="0" w:space="0" w:color="auto"/>
      </w:divBdr>
    </w:div>
    <w:div w:id="958027374">
      <w:bodyDiv w:val="1"/>
      <w:marLeft w:val="0"/>
      <w:marRight w:val="0"/>
      <w:marTop w:val="0"/>
      <w:marBottom w:val="0"/>
      <w:divBdr>
        <w:top w:val="none" w:sz="0" w:space="0" w:color="auto"/>
        <w:left w:val="none" w:sz="0" w:space="0" w:color="auto"/>
        <w:bottom w:val="none" w:sz="0" w:space="0" w:color="auto"/>
        <w:right w:val="none" w:sz="0" w:space="0" w:color="auto"/>
      </w:divBdr>
    </w:div>
    <w:div w:id="1841307403">
      <w:bodyDiv w:val="1"/>
      <w:marLeft w:val="0"/>
      <w:marRight w:val="0"/>
      <w:marTop w:val="0"/>
      <w:marBottom w:val="0"/>
      <w:divBdr>
        <w:top w:val="none" w:sz="0" w:space="0" w:color="auto"/>
        <w:left w:val="none" w:sz="0" w:space="0" w:color="auto"/>
        <w:bottom w:val="none" w:sz="0" w:space="0" w:color="auto"/>
        <w:right w:val="none" w:sz="0" w:space="0" w:color="auto"/>
      </w:divBdr>
    </w:div>
    <w:div w:id="20526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FDE3-4D98-4290-85B7-338E83E697B6}"/>
</file>

<file path=customXml/itemProps2.xml><?xml version="1.0" encoding="utf-8"?>
<ds:datastoreItem xmlns:ds="http://schemas.openxmlformats.org/officeDocument/2006/customXml" ds:itemID="{91BF81F2-E91A-4132-85C2-16B425A147C6}">
  <ds:schemaRefs>
    <ds:schemaRef ds:uri="http://schemas.microsoft.com/sharepoint/v3/contenttype/forms"/>
  </ds:schemaRefs>
</ds:datastoreItem>
</file>

<file path=customXml/itemProps3.xml><?xml version="1.0" encoding="utf-8"?>
<ds:datastoreItem xmlns:ds="http://schemas.openxmlformats.org/officeDocument/2006/customXml" ds:itemID="{99F9B2AD-F4D5-4F50-8248-F53A66E53F35}">
  <ds:schemaRefs>
    <ds:schemaRef ds:uri="http://schemas.microsoft.com/office/2006/documentManagement/types"/>
    <ds:schemaRef ds:uri="http://purl.org/dc/dcmitype/"/>
    <ds:schemaRef ds:uri="http://schemas.microsoft.com/office/infopath/2007/PartnerControls"/>
    <ds:schemaRef ds:uri="http://purl.org/dc/terms/"/>
    <ds:schemaRef ds:uri="9085dc96-1cc8-4ce6-870c-27a430893eb3"/>
    <ds:schemaRef ds:uri="http://purl.org/dc/elements/1.1/"/>
    <ds:schemaRef ds:uri="f02ba75f-b561-4f6e-9550-d0f816c2dcc2"/>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3DF9C0-760E-4B3C-B8E1-DD831D6C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Company>SDCOE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Virtual Machine Security Procedure</dc:title>
  <dc:subject/>
  <dc:creator>John Vaillancourt</dc:creator>
  <cp:keywords/>
  <dc:description/>
  <cp:lastModifiedBy>Christy Johnston</cp:lastModifiedBy>
  <cp:revision>10</cp:revision>
  <dcterms:created xsi:type="dcterms:W3CDTF">2015-05-12T21:02:00Z</dcterms:created>
  <dcterms:modified xsi:type="dcterms:W3CDTF">2017-12-05T21:28:00Z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