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7E2E886B" w:rsidR="00D34B0A" w:rsidRPr="0068634E" w:rsidRDefault="00936780" w:rsidP="13CAFA6A">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58240"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a="http://schemas.openxmlformats.org/drawingml/2006/main" xmlns:cx1="http://schemas.microsoft.com/office/drawing/2015/9/8/chartex">
            <w:pict w14:anchorId="64E4FE31">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6EEB9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374788">
        <w:rPr>
          <w:b/>
          <w:bCs/>
          <w:color w:val="2E74B5" w:themeColor="accent1" w:themeShade="BF"/>
          <w:sz w:val="36"/>
          <w:szCs w:val="36"/>
        </w:rPr>
        <w:t xml:space="preserve">Wireless </w:t>
      </w:r>
      <w:r w:rsidR="000B0543">
        <w:rPr>
          <w:b/>
          <w:bCs/>
          <w:color w:val="2E74B5" w:themeColor="accent1" w:themeShade="BF"/>
          <w:sz w:val="36"/>
          <w:szCs w:val="36"/>
        </w:rPr>
        <w:t>Infrastructure</w:t>
      </w:r>
      <w:r w:rsidR="00B72B1A">
        <w:rPr>
          <w:b/>
          <w:bCs/>
          <w:color w:val="2E74B5" w:themeColor="accent1" w:themeShade="BF"/>
          <w:sz w:val="36"/>
          <w:szCs w:val="36"/>
        </w:rPr>
        <w:t xml:space="preserve"> </w:t>
      </w:r>
      <w:r w:rsidR="00DC73E7">
        <w:rPr>
          <w:b/>
          <w:bCs/>
          <w:color w:val="2E74B5" w:themeColor="accent1" w:themeShade="BF"/>
          <w:sz w:val="36"/>
          <w:szCs w:val="36"/>
        </w:rPr>
        <w:t>Standard</w:t>
      </w:r>
    </w:p>
    <w:p w14:paraId="3532CFDB" w14:textId="1258EEC5" w:rsidR="00494F83" w:rsidRPr="00D02E7B" w:rsidRDefault="13CAFA6A" w:rsidP="13CAFA6A">
      <w:pPr>
        <w:spacing w:before="100" w:beforeAutospacing="1" w:after="100" w:afterAutospacing="1" w:line="240" w:lineRule="auto"/>
        <w:textAlignment w:val="baseline"/>
        <w:rPr>
          <w:rStyle w:val="normaltextrun"/>
          <w:rFonts w:ascii="Times New Roman" w:eastAsia="Times New Roman" w:hAnsi="Times New Roman" w:cs="Times New Roman"/>
          <w:sz w:val="24"/>
          <w:szCs w:val="24"/>
        </w:rPr>
      </w:pPr>
      <w:r w:rsidRPr="13CAFA6A">
        <w:rPr>
          <w:rFonts w:ascii="Calibri" w:eastAsia="Calibri" w:hAnsi="Calibri" w:cs="Calibri"/>
          <w:color w:val="16161D"/>
        </w:rPr>
        <w:t xml:space="preserve">The </w:t>
      </w:r>
      <w:r w:rsidR="002F1A52" w:rsidRPr="002F1A52">
        <w:rPr>
          <w:rStyle w:val="normaltextrun"/>
          <w:rFonts w:ascii="Calibri" w:eastAsia="Calibri" w:hAnsi="Calibri" w:cs="Calibri"/>
          <w:b/>
          <w:bCs/>
          <w:color w:val="16161D"/>
        </w:rPr>
        <w:t>[Organization]</w:t>
      </w:r>
      <w:r w:rsidR="002F1A52">
        <w:rPr>
          <w:rStyle w:val="normaltextrun"/>
          <w:rFonts w:ascii="Calibri" w:eastAsia="Calibri" w:hAnsi="Calibri" w:cs="Calibri"/>
          <w:color w:val="16161D"/>
        </w:rPr>
        <w:t xml:space="preserve"> </w:t>
      </w:r>
      <w:r w:rsidRPr="13CAFA6A">
        <w:rPr>
          <w:rFonts w:ascii="Calibri" w:eastAsia="Calibri" w:hAnsi="Calibri" w:cs="Calibri"/>
          <w:color w:val="16161D"/>
        </w:rPr>
        <w:t>provides wireless connectivity options for employees, contractors, vendors</w:t>
      </w:r>
      <w:r w:rsidR="00191493">
        <w:rPr>
          <w:rFonts w:ascii="Calibri" w:eastAsia="Calibri" w:hAnsi="Calibri" w:cs="Calibri"/>
          <w:color w:val="16161D"/>
        </w:rPr>
        <w:t>,</w:t>
      </w:r>
      <w:r w:rsidRPr="13CAFA6A">
        <w:rPr>
          <w:rFonts w:ascii="Calibri" w:eastAsia="Calibri" w:hAnsi="Calibri" w:cs="Calibri"/>
          <w:color w:val="16161D"/>
        </w:rPr>
        <w:t xml:space="preserve"> and agents in order to create</w:t>
      </w:r>
      <w:r w:rsidR="00E335E0">
        <w:rPr>
          <w:rFonts w:ascii="Calibri" w:eastAsia="Calibri" w:hAnsi="Calibri" w:cs="Calibri"/>
          <w:color w:val="16161D"/>
        </w:rPr>
        <w:t xml:space="preserve"> a secure computing environment.</w:t>
      </w:r>
      <w:r w:rsidRPr="13CAFA6A">
        <w:rPr>
          <w:rFonts w:ascii="Calibri" w:eastAsia="Calibri" w:hAnsi="Calibri" w:cs="Calibri"/>
          <w:color w:val="16161D"/>
        </w:rPr>
        <w:t xml:space="preserve"> In addition, guests are given the op</w:t>
      </w:r>
      <w:r w:rsidR="00E335E0">
        <w:rPr>
          <w:rFonts w:ascii="Calibri" w:eastAsia="Calibri" w:hAnsi="Calibri" w:cs="Calibri"/>
          <w:color w:val="16161D"/>
        </w:rPr>
        <w:t>tion of connecting to the Guest</w:t>
      </w:r>
      <w:r w:rsidRPr="13CAFA6A">
        <w:rPr>
          <w:rFonts w:ascii="Calibri" w:eastAsia="Calibri" w:hAnsi="Calibri" w:cs="Calibri"/>
          <w:color w:val="16161D"/>
        </w:rPr>
        <w:t xml:space="preserve"> wireless network, which is a less secure environment for personal devices and gives limited access to resources.</w:t>
      </w:r>
    </w:p>
    <w:p w14:paraId="202F0FE6" w14:textId="64F22C24" w:rsidR="00191493" w:rsidRPr="00191493" w:rsidRDefault="13CAFA6A" w:rsidP="002F1A52">
      <w:pPr>
        <w:pStyle w:val="Heading1"/>
        <w:keepNext/>
        <w:keepLines/>
        <w:numPr>
          <w:ilvl w:val="0"/>
          <w:numId w:val="18"/>
        </w:numPr>
        <w:pBdr>
          <w:bottom w:val="none" w:sz="0" w:space="0" w:color="auto"/>
        </w:pBdr>
        <w:spacing w:before="0" w:after="0"/>
        <w:textAlignment w:val="baseline"/>
        <w:rPr>
          <w:rStyle w:val="normaltextrun"/>
          <w:rFonts w:ascii="Times New Roman" w:eastAsia="Times New Roman" w:hAnsi="Times New Roman" w:cs="Times New Roman"/>
        </w:rPr>
      </w:pPr>
      <w:r>
        <w:t>Purpose</w:t>
      </w:r>
      <w:r w:rsidR="57E87582">
        <w:br/>
      </w:r>
      <w:r w:rsidRPr="13CAFA6A">
        <w:rPr>
          <w:rStyle w:val="normaltextrun"/>
          <w:rFonts w:ascii="Calibri" w:eastAsia="Calibri" w:hAnsi="Calibri" w:cs="Calibri"/>
          <w:b w:val="0"/>
          <w:bCs w:val="0"/>
          <w:color w:val="16161D"/>
          <w:sz w:val="22"/>
          <w:szCs w:val="22"/>
        </w:rPr>
        <w:t xml:space="preserve">The purpose of this standard is to provide guidelines which specify the technical requirements that wireless infrastructure devices must satisfy in order to connect to a </w:t>
      </w:r>
      <w:r w:rsidR="002F1A52" w:rsidRPr="002F1A52">
        <w:rPr>
          <w:rStyle w:val="normaltextrun"/>
          <w:rFonts w:ascii="Calibri" w:eastAsia="Calibri" w:hAnsi="Calibri" w:cs="Calibri"/>
          <w:bCs w:val="0"/>
          <w:color w:val="16161D"/>
          <w:sz w:val="22"/>
          <w:szCs w:val="22"/>
        </w:rPr>
        <w:t>[Organization]</w:t>
      </w:r>
      <w:r w:rsidR="002F1A52" w:rsidRPr="002F1A52">
        <w:rPr>
          <w:rStyle w:val="normaltextrun"/>
          <w:rFonts w:ascii="Calibri" w:eastAsia="Calibri" w:hAnsi="Calibri" w:cs="Calibri"/>
          <w:b w:val="0"/>
          <w:bCs w:val="0"/>
          <w:color w:val="16161D"/>
          <w:sz w:val="22"/>
          <w:szCs w:val="22"/>
        </w:rPr>
        <w:t xml:space="preserve"> </w:t>
      </w:r>
      <w:r w:rsidRPr="13CAFA6A">
        <w:rPr>
          <w:rStyle w:val="normaltextrun"/>
          <w:rFonts w:ascii="Calibri" w:eastAsia="Calibri" w:hAnsi="Calibri" w:cs="Calibri"/>
          <w:b w:val="0"/>
          <w:bCs w:val="0"/>
          <w:color w:val="16161D"/>
          <w:sz w:val="22"/>
          <w:szCs w:val="22"/>
        </w:rPr>
        <w:t xml:space="preserve">network. Only those wireless infrastructure devices that meet the requirements specified in this standard or are granted an exception </w:t>
      </w:r>
      <w:r w:rsidR="00B12560">
        <w:rPr>
          <w:rStyle w:val="normaltextrun"/>
          <w:rFonts w:ascii="Calibri" w:eastAsia="Calibri" w:hAnsi="Calibri" w:cs="Calibri"/>
          <w:b w:val="0"/>
          <w:bCs w:val="0"/>
          <w:color w:val="16161D"/>
          <w:sz w:val="22"/>
          <w:szCs w:val="22"/>
        </w:rPr>
        <w:t xml:space="preserve">as outlined in this standard </w:t>
      </w:r>
      <w:r w:rsidRPr="13CAFA6A">
        <w:rPr>
          <w:rStyle w:val="normaltextrun"/>
          <w:rFonts w:ascii="Calibri" w:eastAsia="Calibri" w:hAnsi="Calibri" w:cs="Calibri"/>
          <w:b w:val="0"/>
          <w:bCs w:val="0"/>
          <w:color w:val="16161D"/>
          <w:sz w:val="22"/>
          <w:szCs w:val="22"/>
        </w:rPr>
        <w:t xml:space="preserve">are approved for connectivity to a </w:t>
      </w:r>
      <w:r w:rsidR="002F1A52" w:rsidRPr="002F1A52">
        <w:rPr>
          <w:rStyle w:val="normaltextrun"/>
          <w:rFonts w:ascii="Calibri" w:eastAsia="Calibri" w:hAnsi="Calibri" w:cs="Calibri"/>
          <w:bCs w:val="0"/>
          <w:color w:val="16161D"/>
          <w:sz w:val="22"/>
          <w:szCs w:val="22"/>
        </w:rPr>
        <w:t>[Organization]</w:t>
      </w:r>
      <w:r w:rsidR="002F1A52" w:rsidRPr="002F1A52">
        <w:rPr>
          <w:rStyle w:val="normaltextrun"/>
          <w:rFonts w:ascii="Calibri" w:eastAsia="Calibri" w:hAnsi="Calibri" w:cs="Calibri"/>
          <w:b w:val="0"/>
          <w:bCs w:val="0"/>
          <w:color w:val="16161D"/>
          <w:sz w:val="22"/>
          <w:szCs w:val="22"/>
        </w:rPr>
        <w:t xml:space="preserve"> </w:t>
      </w:r>
      <w:r w:rsidRPr="13CAFA6A">
        <w:rPr>
          <w:rStyle w:val="normaltextrun"/>
          <w:rFonts w:ascii="Calibri" w:eastAsia="Calibri" w:hAnsi="Calibri" w:cs="Calibri"/>
          <w:b w:val="0"/>
          <w:bCs w:val="0"/>
          <w:color w:val="16161D"/>
          <w:sz w:val="22"/>
          <w:szCs w:val="22"/>
        </w:rPr>
        <w:t>network.</w:t>
      </w:r>
      <w:r w:rsidR="57E87582">
        <w:br/>
      </w:r>
    </w:p>
    <w:p w14:paraId="274C6E2E" w14:textId="147224E8" w:rsidR="00374788" w:rsidRPr="00374788" w:rsidRDefault="13CAFA6A" w:rsidP="002F1A52">
      <w:pPr>
        <w:pStyle w:val="Heading1"/>
        <w:keepNext/>
        <w:keepLines/>
        <w:numPr>
          <w:ilvl w:val="0"/>
          <w:numId w:val="18"/>
        </w:numPr>
        <w:pBdr>
          <w:bottom w:val="none" w:sz="0" w:space="0" w:color="auto"/>
        </w:pBdr>
        <w:spacing w:before="0" w:after="0"/>
        <w:textAlignment w:val="baseline"/>
        <w:rPr>
          <w:rStyle w:val="normaltextrun"/>
          <w:rFonts w:ascii="Times New Roman" w:eastAsia="Times New Roman" w:hAnsi="Times New Roman" w:cs="Times New Roman"/>
        </w:rPr>
      </w:pPr>
      <w:r w:rsidRPr="13CAFA6A">
        <w:rPr>
          <w:rStyle w:val="normaltextrun"/>
          <w:rFonts w:ascii="Calibri" w:eastAsia="Calibri" w:hAnsi="Calibri" w:cs="Calibri"/>
          <w:b w:val="0"/>
          <w:bCs w:val="0"/>
          <w:color w:val="16161D"/>
          <w:sz w:val="22"/>
          <w:szCs w:val="22"/>
        </w:rPr>
        <w:t>Network devices including (but not limited to) hubs, routers, switches, firewalls, remote access devices, modems</w:t>
      </w:r>
      <w:r w:rsidR="00191493">
        <w:rPr>
          <w:rStyle w:val="normaltextrun"/>
          <w:rFonts w:ascii="Calibri" w:eastAsia="Calibri" w:hAnsi="Calibri" w:cs="Calibri"/>
          <w:b w:val="0"/>
          <w:bCs w:val="0"/>
          <w:color w:val="16161D"/>
          <w:sz w:val="22"/>
          <w:szCs w:val="22"/>
        </w:rPr>
        <w:t>,</w:t>
      </w:r>
      <w:r w:rsidRPr="13CAFA6A">
        <w:rPr>
          <w:rStyle w:val="normaltextrun"/>
          <w:rFonts w:ascii="Calibri" w:eastAsia="Calibri" w:hAnsi="Calibri" w:cs="Calibri"/>
          <w:b w:val="0"/>
          <w:bCs w:val="0"/>
          <w:color w:val="16161D"/>
          <w:sz w:val="22"/>
          <w:szCs w:val="22"/>
        </w:rPr>
        <w:t xml:space="preserve"> or wireless access points must be installed, supported and maintained by</w:t>
      </w:r>
      <w:r w:rsidRPr="002F1A52">
        <w:rPr>
          <w:rStyle w:val="normaltextrun"/>
          <w:rFonts w:ascii="Calibri" w:eastAsia="Calibri" w:hAnsi="Calibri" w:cs="Calibri"/>
          <w:bCs w:val="0"/>
          <w:color w:val="16161D"/>
          <w:sz w:val="22"/>
          <w:szCs w:val="22"/>
        </w:rPr>
        <w:t xml:space="preserve"> </w:t>
      </w:r>
      <w:r w:rsidR="002F1A52" w:rsidRPr="002F1A52">
        <w:rPr>
          <w:rStyle w:val="normaltextrun"/>
          <w:rFonts w:ascii="Calibri" w:eastAsia="Calibri" w:hAnsi="Calibri" w:cs="Calibri"/>
          <w:bCs w:val="0"/>
          <w:color w:val="16161D"/>
          <w:sz w:val="22"/>
          <w:szCs w:val="22"/>
        </w:rPr>
        <w:t>[</w:t>
      </w:r>
      <w:r w:rsidR="002F1A52">
        <w:rPr>
          <w:rStyle w:val="normaltextrun"/>
          <w:rFonts w:ascii="Calibri" w:eastAsia="Calibri" w:hAnsi="Calibri" w:cs="Calibri"/>
          <w:bCs w:val="0"/>
          <w:color w:val="16161D"/>
          <w:sz w:val="22"/>
          <w:szCs w:val="22"/>
        </w:rPr>
        <w:t>Department</w:t>
      </w:r>
      <w:r w:rsidR="002F1A52" w:rsidRPr="002F1A52">
        <w:rPr>
          <w:rStyle w:val="normaltextrun"/>
          <w:rFonts w:ascii="Calibri" w:eastAsia="Calibri" w:hAnsi="Calibri" w:cs="Calibri"/>
          <w:bCs w:val="0"/>
          <w:color w:val="16161D"/>
          <w:sz w:val="22"/>
          <w:szCs w:val="22"/>
        </w:rPr>
        <w:t>]</w:t>
      </w:r>
      <w:r w:rsidR="002F1A52" w:rsidRPr="002F1A52">
        <w:rPr>
          <w:rStyle w:val="normaltextrun"/>
          <w:rFonts w:ascii="Calibri" w:eastAsia="Calibri" w:hAnsi="Calibri" w:cs="Calibri"/>
          <w:b w:val="0"/>
          <w:bCs w:val="0"/>
          <w:color w:val="16161D"/>
          <w:sz w:val="22"/>
          <w:szCs w:val="22"/>
        </w:rPr>
        <w:t xml:space="preserve"> </w:t>
      </w:r>
      <w:r w:rsidRPr="13CAFA6A">
        <w:rPr>
          <w:rStyle w:val="normaltextrun"/>
          <w:rFonts w:ascii="Calibri" w:eastAsia="Calibri" w:hAnsi="Calibri" w:cs="Calibri"/>
          <w:b w:val="0"/>
          <w:bCs w:val="0"/>
          <w:color w:val="16161D"/>
          <w:sz w:val="22"/>
          <w:szCs w:val="22"/>
        </w:rPr>
        <w:t xml:space="preserve">or an </w:t>
      </w:r>
      <w:r w:rsidR="002F1A52" w:rsidRPr="002F1A52">
        <w:rPr>
          <w:rStyle w:val="normaltextrun"/>
          <w:rFonts w:ascii="Calibri" w:eastAsia="Calibri" w:hAnsi="Calibri" w:cs="Calibri"/>
          <w:bCs w:val="0"/>
          <w:color w:val="16161D"/>
          <w:sz w:val="22"/>
          <w:szCs w:val="22"/>
        </w:rPr>
        <w:t>[</w:t>
      </w:r>
      <w:r w:rsidR="002F1A52">
        <w:rPr>
          <w:rStyle w:val="normaltextrun"/>
          <w:rFonts w:ascii="Calibri" w:eastAsia="Calibri" w:hAnsi="Calibri" w:cs="Calibri"/>
          <w:bCs w:val="0"/>
          <w:color w:val="16161D"/>
          <w:sz w:val="22"/>
          <w:szCs w:val="22"/>
        </w:rPr>
        <w:t>Department</w:t>
      </w:r>
      <w:r w:rsidR="002F1A52" w:rsidRPr="002F1A52">
        <w:rPr>
          <w:rStyle w:val="normaltextrun"/>
          <w:rFonts w:ascii="Calibri" w:eastAsia="Calibri" w:hAnsi="Calibri" w:cs="Calibri"/>
          <w:bCs w:val="0"/>
          <w:color w:val="16161D"/>
          <w:sz w:val="22"/>
          <w:szCs w:val="22"/>
        </w:rPr>
        <w:t>]</w:t>
      </w:r>
      <w:r w:rsidR="002F1A52" w:rsidRPr="002F1A52">
        <w:rPr>
          <w:rStyle w:val="normaltextrun"/>
          <w:rFonts w:ascii="Calibri" w:eastAsia="Calibri" w:hAnsi="Calibri" w:cs="Calibri"/>
          <w:b w:val="0"/>
          <w:bCs w:val="0"/>
          <w:color w:val="16161D"/>
          <w:sz w:val="22"/>
          <w:szCs w:val="22"/>
        </w:rPr>
        <w:t xml:space="preserve"> </w:t>
      </w:r>
      <w:r w:rsidRPr="13CAFA6A">
        <w:rPr>
          <w:rStyle w:val="normaltextrun"/>
          <w:rFonts w:ascii="Calibri" w:eastAsia="Calibri" w:hAnsi="Calibri" w:cs="Calibri"/>
          <w:b w:val="0"/>
          <w:bCs w:val="0"/>
          <w:color w:val="16161D"/>
          <w:sz w:val="22"/>
          <w:szCs w:val="22"/>
        </w:rPr>
        <w:t>approved support organization.</w:t>
      </w:r>
    </w:p>
    <w:p w14:paraId="28B13AB2" w14:textId="77777777" w:rsidR="00B72B1A" w:rsidRPr="00191493" w:rsidRDefault="00B72B1A" w:rsidP="00B72B1A">
      <w:pPr>
        <w:pStyle w:val="Heading1"/>
        <w:keepNext/>
        <w:keepLines/>
        <w:pBdr>
          <w:bottom w:val="none" w:sz="0" w:space="0" w:color="auto"/>
        </w:pBdr>
        <w:spacing w:before="0" w:after="0"/>
        <w:textAlignment w:val="baseline"/>
        <w:rPr>
          <w:rFonts w:ascii="Calibri" w:hAnsi="Calibri"/>
          <w:sz w:val="22"/>
          <w:szCs w:val="22"/>
        </w:rPr>
      </w:pPr>
    </w:p>
    <w:p w14:paraId="0C4FEEE3" w14:textId="48F2E112" w:rsidR="00494F83" w:rsidRDefault="13CAFA6A" w:rsidP="006A0A14">
      <w:pPr>
        <w:pStyle w:val="Heading1"/>
        <w:keepNext/>
        <w:keepLines/>
        <w:numPr>
          <w:ilvl w:val="0"/>
          <w:numId w:val="18"/>
        </w:numPr>
        <w:pBdr>
          <w:bottom w:val="none" w:sz="0" w:space="0" w:color="auto"/>
        </w:pBdr>
        <w:spacing w:before="0" w:after="0"/>
        <w:textAlignment w:val="baseline"/>
      </w:pPr>
      <w:r>
        <w:t>Scope</w:t>
      </w:r>
    </w:p>
    <w:p w14:paraId="3C36BEF4" w14:textId="687CF634" w:rsidR="00F779A9" w:rsidRPr="00F779A9" w:rsidRDefault="13CAFA6A" w:rsidP="13CAFA6A">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13CAFA6A">
        <w:rPr>
          <w:rStyle w:val="normaltextrun"/>
          <w:rFonts w:ascii="Calibri" w:eastAsia="Calibri" w:hAnsi="Calibri" w:cs="Calibri"/>
          <w:b w:val="0"/>
          <w:bCs w:val="0"/>
          <w:color w:val="16161D"/>
          <w:sz w:val="22"/>
          <w:szCs w:val="22"/>
        </w:rPr>
        <w:t xml:space="preserve">This </w:t>
      </w:r>
      <w:r w:rsidR="00B12560">
        <w:rPr>
          <w:rStyle w:val="normaltextrun"/>
          <w:rFonts w:ascii="Calibri" w:eastAsia="Calibri" w:hAnsi="Calibri" w:cs="Calibri"/>
          <w:b w:val="0"/>
          <w:bCs w:val="0"/>
          <w:color w:val="16161D"/>
          <w:sz w:val="22"/>
          <w:szCs w:val="22"/>
        </w:rPr>
        <w:t>standard</w:t>
      </w:r>
      <w:r w:rsidRPr="13CAFA6A">
        <w:rPr>
          <w:rStyle w:val="normaltextrun"/>
          <w:rFonts w:ascii="Calibri" w:eastAsia="Calibri" w:hAnsi="Calibri" w:cs="Calibri"/>
          <w:b w:val="0"/>
          <w:bCs w:val="0"/>
          <w:color w:val="16161D"/>
          <w:sz w:val="22"/>
          <w:szCs w:val="22"/>
        </w:rPr>
        <w:t xml:space="preserve"> applies to wireless devices that make a connection to the </w:t>
      </w:r>
      <w:r w:rsidR="002F1A52" w:rsidRPr="002F1A52">
        <w:rPr>
          <w:rStyle w:val="normaltextrun"/>
          <w:rFonts w:ascii="Calibri" w:eastAsia="Calibri" w:hAnsi="Calibri" w:cs="Calibri"/>
          <w:bCs w:val="0"/>
          <w:color w:val="16161D"/>
          <w:sz w:val="22"/>
          <w:szCs w:val="22"/>
        </w:rPr>
        <w:t>[Organization]</w:t>
      </w:r>
      <w:r w:rsidR="002F1A52" w:rsidRPr="13CAFA6A">
        <w:rPr>
          <w:rStyle w:val="normaltextrun"/>
          <w:rFonts w:ascii="Calibri" w:eastAsia="Calibri" w:hAnsi="Calibri" w:cs="Calibri"/>
          <w:b w:val="0"/>
          <w:bCs w:val="0"/>
          <w:color w:val="16161D"/>
          <w:sz w:val="22"/>
          <w:szCs w:val="22"/>
        </w:rPr>
        <w:t xml:space="preserve"> </w:t>
      </w:r>
      <w:r w:rsidRPr="13CAFA6A">
        <w:rPr>
          <w:rStyle w:val="normaltextrun"/>
          <w:rFonts w:ascii="Calibri" w:eastAsia="Calibri" w:hAnsi="Calibri" w:cs="Calibri"/>
          <w:b w:val="0"/>
          <w:bCs w:val="0"/>
          <w:color w:val="16161D"/>
          <w:sz w:val="22"/>
          <w:szCs w:val="22"/>
        </w:rPr>
        <w:t>network and all wireless infrastructure devices that provide wireless connectivity to the network.  </w:t>
      </w:r>
    </w:p>
    <w:p w14:paraId="19AB3203" w14:textId="77777777" w:rsidR="00F779A9" w:rsidRPr="00191493" w:rsidRDefault="00F779A9" w:rsidP="000D0721">
      <w:pPr>
        <w:spacing w:after="0" w:line="240" w:lineRule="auto"/>
        <w:rPr>
          <w:rFonts w:ascii="Calibri" w:hAnsi="Calibri"/>
          <w:lang w:eastAsia="zh-CN" w:bidi="hi-IN"/>
        </w:rPr>
      </w:pPr>
    </w:p>
    <w:p w14:paraId="3815A545" w14:textId="4CB2AD71" w:rsidR="009D5755" w:rsidRDefault="00B12560" w:rsidP="000D0721">
      <w:pPr>
        <w:pStyle w:val="Heading1"/>
        <w:keepNext/>
        <w:keepLines/>
        <w:numPr>
          <w:ilvl w:val="0"/>
          <w:numId w:val="18"/>
        </w:numPr>
        <w:pBdr>
          <w:bottom w:val="none" w:sz="0" w:space="0" w:color="auto"/>
        </w:pBdr>
        <w:spacing w:before="0" w:after="0"/>
        <w:textAlignment w:val="baseline"/>
      </w:pPr>
      <w:r>
        <w:t>Standard</w:t>
      </w:r>
    </w:p>
    <w:p w14:paraId="5D8131C1" w14:textId="38F0114C" w:rsidR="00374788" w:rsidRDefault="13CAFA6A" w:rsidP="00076642">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13CAFA6A">
        <w:rPr>
          <w:rStyle w:val="normaltextrun"/>
          <w:rFonts w:ascii="Calibri" w:eastAsia="Calibri" w:hAnsi="Calibri" w:cs="Calibri"/>
          <w:color w:val="16161D"/>
          <w:sz w:val="22"/>
          <w:szCs w:val="22"/>
          <w:u w:val="single"/>
        </w:rPr>
        <w:t>General Requirements</w:t>
      </w:r>
      <w:r w:rsidR="00374788">
        <w:br/>
      </w:r>
      <w:r w:rsidRPr="13CAFA6A">
        <w:rPr>
          <w:rStyle w:val="normaltextrun"/>
          <w:rFonts w:ascii="Calibri" w:eastAsia="Calibri" w:hAnsi="Calibri" w:cs="Calibri"/>
          <w:color w:val="16161D"/>
          <w:sz w:val="22"/>
          <w:szCs w:val="22"/>
        </w:rPr>
        <w:t>All wireless infrastructure devices that connect to a</w:t>
      </w:r>
      <w:r w:rsidRPr="002F1A52">
        <w:rPr>
          <w:rStyle w:val="normaltextrun"/>
          <w:rFonts w:ascii="Calibri" w:eastAsia="Calibri" w:hAnsi="Calibri" w:cs="Calibri"/>
          <w:b/>
          <w:color w:val="16161D"/>
          <w:sz w:val="22"/>
          <w:szCs w:val="22"/>
        </w:rPr>
        <w:t xml:space="preserve"> </w:t>
      </w:r>
      <w:r w:rsidR="002F1A52" w:rsidRPr="002F1A52">
        <w:rPr>
          <w:rStyle w:val="normaltextrun"/>
          <w:rFonts w:ascii="Calibri" w:eastAsia="Calibri" w:hAnsi="Calibri" w:cs="Calibri"/>
          <w:b/>
          <w:bCs/>
          <w:color w:val="16161D"/>
          <w:sz w:val="22"/>
          <w:szCs w:val="22"/>
        </w:rPr>
        <w:t>[Organization]</w:t>
      </w:r>
      <w:r w:rsidR="002F1A52" w:rsidRPr="13CAFA6A">
        <w:rPr>
          <w:rStyle w:val="normaltextrun"/>
          <w:rFonts w:ascii="Calibri" w:eastAsia="Calibri" w:hAnsi="Calibri" w:cs="Calibri"/>
          <w:b/>
          <w:bCs/>
          <w:color w:val="16161D"/>
          <w:sz w:val="22"/>
          <w:szCs w:val="22"/>
        </w:rPr>
        <w:t xml:space="preserve"> </w:t>
      </w:r>
      <w:r w:rsidRPr="13CAFA6A">
        <w:rPr>
          <w:rStyle w:val="normaltextrun"/>
          <w:rFonts w:ascii="Calibri" w:eastAsia="Calibri" w:hAnsi="Calibri" w:cs="Calibri"/>
          <w:color w:val="16161D"/>
          <w:sz w:val="22"/>
          <w:szCs w:val="22"/>
        </w:rPr>
        <w:t xml:space="preserve">network or provide access to </w:t>
      </w:r>
      <w:r w:rsidR="002F1A52" w:rsidRPr="002F1A52">
        <w:rPr>
          <w:rStyle w:val="normaltextrun"/>
          <w:rFonts w:ascii="Calibri" w:eastAsia="Calibri" w:hAnsi="Calibri" w:cs="Calibri"/>
          <w:b/>
          <w:bCs/>
          <w:color w:val="16161D"/>
          <w:sz w:val="22"/>
          <w:szCs w:val="22"/>
        </w:rPr>
        <w:t>[Organization]</w:t>
      </w:r>
      <w:r w:rsidR="002F1A52" w:rsidRPr="13CAFA6A">
        <w:rPr>
          <w:rStyle w:val="normaltextrun"/>
          <w:rFonts w:ascii="Calibri" w:eastAsia="Calibri" w:hAnsi="Calibri" w:cs="Calibri"/>
          <w:b/>
          <w:bCs/>
          <w:color w:val="16161D"/>
          <w:sz w:val="22"/>
          <w:szCs w:val="22"/>
        </w:rPr>
        <w:t xml:space="preserve"> </w:t>
      </w:r>
      <w:r w:rsidRPr="13CAFA6A">
        <w:rPr>
          <w:rStyle w:val="normaltextrun"/>
          <w:rFonts w:ascii="Calibri" w:eastAsia="Calibri" w:hAnsi="Calibri" w:cs="Calibri"/>
          <w:color w:val="16161D"/>
          <w:sz w:val="22"/>
          <w:szCs w:val="22"/>
        </w:rPr>
        <w:t>Protected Information must:</w:t>
      </w:r>
    </w:p>
    <w:p w14:paraId="499CB3EA" w14:textId="238267BD" w:rsidR="003E29ED" w:rsidRDefault="13CAFA6A" w:rsidP="00076642">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rPr>
      </w:pPr>
      <w:r w:rsidRPr="13CAFA6A">
        <w:rPr>
          <w:rStyle w:val="normaltextrun"/>
          <w:rFonts w:ascii="Calibri" w:eastAsia="Calibri" w:hAnsi="Calibri" w:cs="Calibri"/>
          <w:color w:val="16161D"/>
          <w:sz w:val="22"/>
          <w:szCs w:val="22"/>
        </w:rPr>
        <w:t>Use Extensible Authentication Protocol-Fast Authentication via Secure tunneling (EAP-FAST), Protected Extensible Authentication Protocol (PEAP), or Extensible Authentication Protocol-Translation Layer Security (EAP-TLS) as the authentication protocol.</w:t>
      </w:r>
    </w:p>
    <w:p w14:paraId="7D72E93E" w14:textId="7B6709C3" w:rsidR="00374788" w:rsidRDefault="13CAFA6A" w:rsidP="00076642">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rPr>
      </w:pPr>
      <w:r w:rsidRPr="13CAFA6A">
        <w:rPr>
          <w:rStyle w:val="normaltextrun"/>
          <w:rFonts w:ascii="Calibri" w:eastAsia="Calibri" w:hAnsi="Calibri" w:cs="Calibri"/>
          <w:color w:val="16161D"/>
          <w:sz w:val="22"/>
          <w:szCs w:val="22"/>
        </w:rPr>
        <w:t>Use Temporal Key Integrity Protocol (TKIP) or Advanced Encryption System (AES) protocols with a minimum key length of 128 bits.</w:t>
      </w:r>
    </w:p>
    <w:p w14:paraId="3A08F744" w14:textId="41AD712A" w:rsidR="00374788" w:rsidRDefault="13CAFA6A" w:rsidP="00076642">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rPr>
      </w:pPr>
      <w:r w:rsidRPr="13CAFA6A">
        <w:rPr>
          <w:rStyle w:val="normaltextrun"/>
          <w:rFonts w:ascii="Calibri" w:eastAsia="Calibri" w:hAnsi="Calibri" w:cs="Calibri"/>
          <w:color w:val="16161D"/>
          <w:sz w:val="22"/>
          <w:szCs w:val="22"/>
        </w:rPr>
        <w:t xml:space="preserve">All Bluetooth devices must use Secure Simple Pairing </w:t>
      </w:r>
      <w:r w:rsidR="00DC27B6">
        <w:rPr>
          <w:rStyle w:val="normaltextrun"/>
          <w:rFonts w:ascii="Calibri" w:eastAsia="Calibri" w:hAnsi="Calibri" w:cs="Calibri"/>
          <w:color w:val="16161D"/>
          <w:sz w:val="22"/>
          <w:szCs w:val="22"/>
        </w:rPr>
        <w:t xml:space="preserve">(SSP) </w:t>
      </w:r>
      <w:r w:rsidRPr="13CAFA6A">
        <w:rPr>
          <w:rStyle w:val="normaltextrun"/>
          <w:rFonts w:ascii="Calibri" w:eastAsia="Calibri" w:hAnsi="Calibri" w:cs="Calibri"/>
          <w:color w:val="16161D"/>
          <w:sz w:val="22"/>
          <w:szCs w:val="22"/>
        </w:rPr>
        <w:t>with encryption enabled.</w:t>
      </w:r>
    </w:p>
    <w:p w14:paraId="624FAAA6" w14:textId="77777777" w:rsidR="00076642" w:rsidRDefault="00076642" w:rsidP="00076642">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3AEE816A" w14:textId="63983C56" w:rsidR="00374788" w:rsidRPr="00374788" w:rsidRDefault="13CAFA6A" w:rsidP="00076642">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r w:rsidRPr="13CAFA6A">
        <w:rPr>
          <w:rStyle w:val="normaltextrun"/>
          <w:rFonts w:ascii="Calibri" w:eastAsia="Calibri" w:hAnsi="Calibri" w:cs="Calibri"/>
          <w:color w:val="16161D"/>
          <w:sz w:val="22"/>
          <w:szCs w:val="22"/>
          <w:u w:val="single"/>
        </w:rPr>
        <w:t>Lab or Wireless Device Requirements</w:t>
      </w:r>
    </w:p>
    <w:p w14:paraId="53207D31" w14:textId="2C328D62" w:rsidR="00374788" w:rsidRDefault="13CAFA6A" w:rsidP="00076642">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13CAFA6A">
        <w:rPr>
          <w:rStyle w:val="normaltextrun"/>
          <w:rFonts w:ascii="Calibri" w:eastAsia="Calibri" w:hAnsi="Calibri" w:cs="Calibri"/>
          <w:color w:val="16161D"/>
          <w:sz w:val="22"/>
          <w:szCs w:val="22"/>
        </w:rPr>
        <w:t xml:space="preserve">In the event a lab or test wireless infrastructure device needs to be set, the Service Set Identifier (SSID) must be different from any existing </w:t>
      </w:r>
      <w:r w:rsidR="002F1A52" w:rsidRPr="002F1A52">
        <w:rPr>
          <w:rStyle w:val="normaltextrun"/>
          <w:rFonts w:ascii="Calibri" w:eastAsia="Calibri" w:hAnsi="Calibri" w:cs="Calibri"/>
          <w:b/>
          <w:bCs/>
          <w:color w:val="16161D"/>
          <w:sz w:val="22"/>
          <w:szCs w:val="22"/>
        </w:rPr>
        <w:t>[Organization]</w:t>
      </w:r>
      <w:r w:rsidR="002F1A52" w:rsidRPr="13CAFA6A">
        <w:rPr>
          <w:rStyle w:val="normaltextrun"/>
          <w:rFonts w:ascii="Calibri" w:eastAsia="Calibri" w:hAnsi="Calibri" w:cs="Calibri"/>
          <w:b/>
          <w:bCs/>
          <w:color w:val="16161D"/>
          <w:sz w:val="22"/>
          <w:szCs w:val="22"/>
        </w:rPr>
        <w:t xml:space="preserve"> </w:t>
      </w:r>
      <w:r w:rsidRPr="13CAFA6A">
        <w:rPr>
          <w:rStyle w:val="normaltextrun"/>
          <w:rFonts w:ascii="Calibri" w:eastAsia="Calibri" w:hAnsi="Calibri" w:cs="Calibri"/>
          <w:color w:val="16161D"/>
          <w:sz w:val="22"/>
          <w:szCs w:val="22"/>
        </w:rPr>
        <w:t>production device SSID.</w:t>
      </w:r>
    </w:p>
    <w:p w14:paraId="222BDDF9" w14:textId="6576E99A" w:rsidR="00374788" w:rsidRDefault="13CAFA6A" w:rsidP="00076642">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13CAFA6A">
        <w:rPr>
          <w:rStyle w:val="normaltextrun"/>
          <w:rFonts w:ascii="Calibri" w:eastAsia="Calibri" w:hAnsi="Calibri" w:cs="Calibri"/>
          <w:color w:val="16161D"/>
          <w:sz w:val="22"/>
          <w:szCs w:val="22"/>
        </w:rPr>
        <w:t xml:space="preserve">Broadcast of </w:t>
      </w:r>
      <w:r w:rsidR="00191493" w:rsidRPr="13CAFA6A">
        <w:rPr>
          <w:rStyle w:val="normaltextrun"/>
          <w:rFonts w:ascii="Calibri" w:eastAsia="Calibri" w:hAnsi="Calibri" w:cs="Calibri"/>
          <w:color w:val="16161D"/>
          <w:sz w:val="22"/>
          <w:szCs w:val="22"/>
        </w:rPr>
        <w:t>these devices’</w:t>
      </w:r>
      <w:r w:rsidR="00191493">
        <w:rPr>
          <w:rStyle w:val="normaltextrun"/>
          <w:rFonts w:ascii="Calibri" w:eastAsia="Calibri" w:hAnsi="Calibri" w:cs="Calibri"/>
          <w:color w:val="16161D"/>
          <w:sz w:val="22"/>
          <w:szCs w:val="22"/>
        </w:rPr>
        <w:t xml:space="preserve"> </w:t>
      </w:r>
      <w:r w:rsidRPr="13CAFA6A">
        <w:rPr>
          <w:rStyle w:val="normaltextrun"/>
          <w:rFonts w:ascii="Calibri" w:eastAsia="Calibri" w:hAnsi="Calibri" w:cs="Calibri"/>
          <w:color w:val="16161D"/>
          <w:sz w:val="22"/>
          <w:szCs w:val="22"/>
        </w:rPr>
        <w:t>SSID must be disabled.</w:t>
      </w:r>
      <w:bookmarkStart w:id="0" w:name="_GoBack"/>
      <w:bookmarkEnd w:id="0"/>
    </w:p>
    <w:p w14:paraId="359015E8" w14:textId="2E5CE1BB" w:rsidR="009D5755" w:rsidRDefault="13CAFA6A" w:rsidP="00A824E1">
      <w:pPr>
        <w:pStyle w:val="Heading1"/>
        <w:keepNext/>
        <w:keepLines/>
        <w:numPr>
          <w:ilvl w:val="0"/>
          <w:numId w:val="18"/>
        </w:numPr>
        <w:pBdr>
          <w:bottom w:val="none" w:sz="0" w:space="0" w:color="auto"/>
        </w:pBdr>
        <w:spacing w:before="0" w:after="0"/>
      </w:pPr>
      <w:r>
        <w:t>Enforcement</w:t>
      </w:r>
    </w:p>
    <w:p w14:paraId="409CDD22" w14:textId="144AAD23" w:rsidR="008A201B" w:rsidRDefault="13CAFA6A" w:rsidP="00A824E1">
      <w:pPr>
        <w:spacing w:after="0" w:line="240" w:lineRule="auto"/>
        <w:ind w:left="360"/>
        <w:rPr>
          <w:rStyle w:val="normaltextrun"/>
          <w:rFonts w:ascii="Calibri" w:eastAsia="Calibri" w:hAnsi="Calibri" w:cs="Calibri"/>
        </w:rPr>
      </w:pPr>
      <w:r w:rsidRPr="13CAFA6A">
        <w:rPr>
          <w:rStyle w:val="normaltextrun"/>
          <w:rFonts w:ascii="Calibri" w:eastAsia="Calibri" w:hAnsi="Calibri" w:cs="Calibri"/>
        </w:rPr>
        <w:t>This procedure is for your protection. Violation of this procedure could be reported to the appropriate supervisor and could be subject to potential disciplinary action, up to and including termination.</w:t>
      </w:r>
    </w:p>
    <w:p w14:paraId="0FE0C786" w14:textId="77777777" w:rsidR="00A824E1" w:rsidRDefault="00A824E1" w:rsidP="00A824E1">
      <w:pPr>
        <w:spacing w:after="0" w:line="240" w:lineRule="auto"/>
        <w:ind w:left="360"/>
        <w:rPr>
          <w:rStyle w:val="normaltextrun"/>
          <w:rFonts w:ascii="Calibri" w:eastAsia="Calibri" w:hAnsi="Calibri" w:cs="Calibri"/>
        </w:rPr>
      </w:pPr>
    </w:p>
    <w:p w14:paraId="15A8A736" w14:textId="785503D4" w:rsidR="001734D5" w:rsidRDefault="13CAFA6A" w:rsidP="00A824E1">
      <w:pPr>
        <w:spacing w:after="0" w:line="240" w:lineRule="auto"/>
        <w:ind w:left="360"/>
        <w:rPr>
          <w:rStyle w:val="normaltextrun"/>
          <w:rFonts w:ascii="Calibri" w:eastAsia="Calibri" w:hAnsi="Calibri" w:cs="Calibri"/>
        </w:rPr>
      </w:pPr>
      <w:r w:rsidRPr="13CAFA6A">
        <w:rPr>
          <w:rStyle w:val="normaltextrun"/>
          <w:rFonts w:ascii="Calibri" w:eastAsia="Calibri" w:hAnsi="Calibri" w:cs="Calibri"/>
        </w:rPr>
        <w:t>The Network Services and/or Cybersecurity teams will verify compliance with these procedures through various methods, including but not limited to: periodic walk-throughs, business tool reports, internal and external audits, and feedback to the procedure owner.</w:t>
      </w:r>
    </w:p>
    <w:p w14:paraId="7080CEE1" w14:textId="77777777" w:rsidR="00A824E1" w:rsidRDefault="00A824E1" w:rsidP="00A824E1">
      <w:pPr>
        <w:spacing w:after="0" w:line="240" w:lineRule="auto"/>
        <w:ind w:left="360"/>
        <w:rPr>
          <w:rStyle w:val="normaltextrun"/>
          <w:rFonts w:ascii="Calibri" w:eastAsia="Calibri" w:hAnsi="Calibri" w:cs="Calibri"/>
        </w:rPr>
      </w:pPr>
    </w:p>
    <w:p w14:paraId="4B11BF97" w14:textId="3D196859" w:rsidR="00B80156" w:rsidRDefault="13CAFA6A" w:rsidP="00A824E1">
      <w:pPr>
        <w:pStyle w:val="Heading1"/>
        <w:keepNext/>
        <w:keepLines/>
        <w:numPr>
          <w:ilvl w:val="0"/>
          <w:numId w:val="18"/>
        </w:numPr>
        <w:pBdr>
          <w:bottom w:val="none" w:sz="0" w:space="0" w:color="auto"/>
        </w:pBdr>
        <w:spacing w:before="0" w:after="0"/>
      </w:pPr>
      <w:r>
        <w:t>Exceptions</w:t>
      </w:r>
    </w:p>
    <w:p w14:paraId="12C4E6A4" w14:textId="4CCC68B1" w:rsidR="00494F83" w:rsidRDefault="13CAFA6A" w:rsidP="00A824E1">
      <w:pPr>
        <w:spacing w:after="0" w:line="240" w:lineRule="auto"/>
        <w:ind w:left="360"/>
        <w:rPr>
          <w:rStyle w:val="normaltextrun"/>
          <w:rFonts w:ascii="Calibri" w:eastAsia="Calibri" w:hAnsi="Calibri" w:cs="Calibri"/>
        </w:rPr>
      </w:pPr>
      <w:r w:rsidRPr="13CAFA6A">
        <w:rPr>
          <w:rStyle w:val="normaltextrun"/>
          <w:rFonts w:ascii="Calibri" w:eastAsia="Calibri" w:hAnsi="Calibri" w:cs="Calibri"/>
        </w:rPr>
        <w:t>Limited exceptions to the procedure must be approved by the</w:t>
      </w:r>
      <w:r w:rsidRPr="002F1A52">
        <w:rPr>
          <w:rStyle w:val="normaltextrun"/>
          <w:rFonts w:ascii="Calibri" w:eastAsia="Calibri" w:hAnsi="Calibri" w:cs="Calibri"/>
          <w:b/>
        </w:rPr>
        <w:t xml:space="preserve"> </w:t>
      </w:r>
      <w:r w:rsidR="002F1A52" w:rsidRPr="002F1A52">
        <w:rPr>
          <w:rStyle w:val="normaltextrun"/>
          <w:rFonts w:ascii="Calibri" w:eastAsia="Calibri" w:hAnsi="Calibri" w:cs="Calibri"/>
          <w:b/>
          <w:bCs/>
          <w:color w:val="16161D"/>
        </w:rPr>
        <w:t>[</w:t>
      </w:r>
      <w:r w:rsidR="002F1A52">
        <w:rPr>
          <w:rStyle w:val="normaltextrun"/>
          <w:rFonts w:ascii="Calibri" w:eastAsia="Calibri" w:hAnsi="Calibri" w:cs="Calibri"/>
          <w:b/>
          <w:bCs/>
          <w:color w:val="16161D"/>
        </w:rPr>
        <w:t>management</w:t>
      </w:r>
      <w:r w:rsidR="002F1A52" w:rsidRPr="002F1A52">
        <w:rPr>
          <w:rStyle w:val="normaltextrun"/>
          <w:rFonts w:ascii="Calibri" w:eastAsia="Calibri" w:hAnsi="Calibri" w:cs="Calibri"/>
          <w:b/>
          <w:bCs/>
          <w:color w:val="16161D"/>
        </w:rPr>
        <w:t>]</w:t>
      </w:r>
      <w:r w:rsidRPr="002F1A52">
        <w:rPr>
          <w:rStyle w:val="normaltextrun"/>
          <w:rFonts w:ascii="Calibri" w:eastAsia="Calibri" w:hAnsi="Calibri" w:cs="Calibri"/>
          <w:b/>
        </w:rPr>
        <w:t>.</w:t>
      </w:r>
      <w:r w:rsidRPr="13CAFA6A">
        <w:rPr>
          <w:rStyle w:val="normaltextrun"/>
          <w:rFonts w:ascii="Calibri" w:eastAsia="Calibri" w:hAnsi="Calibri" w:cs="Calibri"/>
        </w:rPr>
        <w:t xml:space="preserve"> </w:t>
      </w:r>
    </w:p>
    <w:p w14:paraId="05D361EA" w14:textId="77777777" w:rsidR="00A824E1" w:rsidRDefault="00A824E1" w:rsidP="00A824E1">
      <w:pPr>
        <w:spacing w:after="0" w:line="240" w:lineRule="auto"/>
        <w:ind w:left="360"/>
        <w:rPr>
          <w:rStyle w:val="normaltextrun"/>
          <w:rFonts w:ascii="Calibri" w:eastAsia="Calibri" w:hAnsi="Calibri" w:cs="Calibri"/>
        </w:rPr>
      </w:pPr>
    </w:p>
    <w:p w14:paraId="036BCA8B" w14:textId="6BEF7C63" w:rsidR="00613191" w:rsidRDefault="13CAFA6A" w:rsidP="00A824E1">
      <w:pPr>
        <w:pStyle w:val="ListParagraph"/>
        <w:numPr>
          <w:ilvl w:val="0"/>
          <w:numId w:val="18"/>
        </w:numPr>
        <w:rPr>
          <w:rFonts w:asciiTheme="majorHAnsi" w:eastAsiaTheme="majorEastAsia" w:hAnsiTheme="majorHAnsi" w:cstheme="majorBidi"/>
          <w:b/>
          <w:bCs/>
          <w:color w:val="2E74B5" w:themeColor="accent1" w:themeShade="BF"/>
          <w:sz w:val="24"/>
          <w:szCs w:val="24"/>
        </w:rPr>
      </w:pPr>
      <w:r w:rsidRPr="13CAFA6A">
        <w:rPr>
          <w:rFonts w:asciiTheme="majorHAnsi" w:eastAsiaTheme="majorEastAsia" w:hAnsiTheme="majorHAnsi" w:cstheme="majorBidi"/>
          <w:b/>
          <w:bCs/>
          <w:color w:val="2E74B5" w:themeColor="accent1" w:themeShade="BF"/>
          <w:sz w:val="24"/>
          <w:szCs w:val="24"/>
        </w:rPr>
        <w:t>Definitions</w:t>
      </w:r>
    </w:p>
    <w:p w14:paraId="1EF95596" w14:textId="119F5757" w:rsidR="00863D8A" w:rsidRPr="00863D8A" w:rsidRDefault="13CAFA6A" w:rsidP="00A824E1">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13CAFA6A">
        <w:rPr>
          <w:rStyle w:val="normaltextrun"/>
          <w:rFonts w:ascii="Calibri" w:eastAsia="Calibri" w:hAnsi="Calibri" w:cs="Calibri"/>
          <w:color w:val="000000" w:themeColor="text1"/>
          <w:sz w:val="22"/>
          <w:szCs w:val="22"/>
          <w:u w:val="single"/>
        </w:rPr>
        <w:t>Advanced Encryption Standard (AES):</w:t>
      </w:r>
      <w:r w:rsidRPr="13CAFA6A">
        <w:rPr>
          <w:rStyle w:val="normaltextrun"/>
          <w:rFonts w:ascii="Calibri" w:eastAsia="Calibri" w:hAnsi="Calibri" w:cs="Calibri"/>
          <w:color w:val="000000" w:themeColor="text1"/>
          <w:sz w:val="22"/>
          <w:szCs w:val="22"/>
        </w:rPr>
        <w:t xml:space="preserve"> An encryption standard developed by the National Institute of Standards and Technology (NIST); intended to specify an unclassified, publically disclosed, symmetric Encryption algorithm.</w:t>
      </w:r>
    </w:p>
    <w:p w14:paraId="6C18C75B" w14:textId="4FE04150" w:rsidR="00967294" w:rsidRPr="00863D8A" w:rsidRDefault="13CAFA6A" w:rsidP="00A824E1">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13CAFA6A">
        <w:rPr>
          <w:rStyle w:val="normaltextrun"/>
          <w:rFonts w:ascii="Calibri" w:eastAsia="Calibri" w:hAnsi="Calibri" w:cs="Calibri"/>
          <w:color w:val="000000" w:themeColor="text1"/>
          <w:sz w:val="22"/>
          <w:szCs w:val="22"/>
          <w:u w:val="single"/>
        </w:rPr>
        <w:t>Extensible Authentication Protocol-Fast Authentication via Secure Tunneling (EAP-FAST)</w:t>
      </w:r>
      <w:r w:rsidR="009204C0">
        <w:rPr>
          <w:rStyle w:val="normaltextrun"/>
          <w:rFonts w:ascii="Calibri" w:eastAsia="Calibri" w:hAnsi="Calibri" w:cs="Calibri"/>
          <w:color w:val="000000" w:themeColor="text1"/>
          <w:sz w:val="22"/>
          <w:szCs w:val="22"/>
        </w:rPr>
        <w:t>:</w:t>
      </w:r>
      <w:r w:rsidRPr="13CAFA6A">
        <w:rPr>
          <w:rStyle w:val="normaltextrun"/>
          <w:rFonts w:ascii="Calibri" w:eastAsia="Calibri" w:hAnsi="Calibri" w:cs="Calibri"/>
          <w:color w:val="000000" w:themeColor="text1"/>
          <w:sz w:val="22"/>
          <w:szCs w:val="22"/>
        </w:rPr>
        <w:t xml:space="preserve"> A lightweight connection protocol that replaced Lightweight Extensible Authentication Protocol (LEAP.)</w:t>
      </w:r>
    </w:p>
    <w:p w14:paraId="635DEFBF" w14:textId="5F1685CB" w:rsidR="00863D8A" w:rsidRPr="00863D8A" w:rsidRDefault="13CAFA6A" w:rsidP="00A824E1">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13CAFA6A">
        <w:rPr>
          <w:rStyle w:val="normaltextrun"/>
          <w:rFonts w:ascii="Calibri" w:eastAsia="Calibri" w:hAnsi="Calibri" w:cs="Calibri"/>
          <w:color w:val="000000" w:themeColor="text1"/>
          <w:sz w:val="22"/>
          <w:szCs w:val="22"/>
          <w:u w:val="single"/>
        </w:rPr>
        <w:t>Extensible Authentication Protocol-Translation Layer Security (EAP-TLS)</w:t>
      </w:r>
      <w:r w:rsidR="009204C0">
        <w:rPr>
          <w:rStyle w:val="normaltextrun"/>
          <w:rFonts w:ascii="Calibri" w:eastAsia="Calibri" w:hAnsi="Calibri" w:cs="Calibri"/>
          <w:color w:val="000000" w:themeColor="text1"/>
          <w:sz w:val="22"/>
          <w:szCs w:val="22"/>
        </w:rPr>
        <w:t>:</w:t>
      </w:r>
      <w:r w:rsidRPr="13CAFA6A">
        <w:rPr>
          <w:rStyle w:val="normaltextrun"/>
          <w:rFonts w:ascii="Calibri" w:eastAsia="Calibri" w:hAnsi="Calibri" w:cs="Calibri"/>
          <w:color w:val="000000" w:themeColor="text1"/>
          <w:sz w:val="22"/>
          <w:szCs w:val="22"/>
        </w:rPr>
        <w:t xml:space="preserve"> An open standard that uses the Transport Layer Security (TLS) protocol; the original, standard wireless LAN EAP authentication protocol.</w:t>
      </w:r>
    </w:p>
    <w:p w14:paraId="46DFF2CB" w14:textId="248B9CE6" w:rsidR="00863D8A" w:rsidRPr="00863D8A" w:rsidRDefault="13CAFA6A" w:rsidP="00A824E1">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13CAFA6A">
        <w:rPr>
          <w:rStyle w:val="normaltextrun"/>
          <w:rFonts w:ascii="Calibri" w:eastAsia="Calibri" w:hAnsi="Calibri" w:cs="Calibri"/>
          <w:color w:val="000000" w:themeColor="text1"/>
          <w:sz w:val="22"/>
          <w:szCs w:val="22"/>
          <w:u w:val="single"/>
        </w:rPr>
        <w:t>Protected Extensible Authentication Protocol (PEAP)</w:t>
      </w:r>
      <w:r w:rsidR="009204C0">
        <w:rPr>
          <w:rStyle w:val="normaltextrun"/>
          <w:rFonts w:ascii="Calibri" w:eastAsia="Calibri" w:hAnsi="Calibri" w:cs="Calibri"/>
          <w:color w:val="000000" w:themeColor="text1"/>
          <w:sz w:val="22"/>
          <w:szCs w:val="22"/>
        </w:rPr>
        <w:t xml:space="preserve">: </w:t>
      </w:r>
      <w:r w:rsidRPr="13CAFA6A">
        <w:rPr>
          <w:rStyle w:val="normaltextrun"/>
          <w:rFonts w:ascii="Calibri" w:eastAsia="Calibri" w:hAnsi="Calibri" w:cs="Calibri"/>
          <w:color w:val="000000" w:themeColor="text1"/>
          <w:sz w:val="22"/>
          <w:szCs w:val="22"/>
        </w:rPr>
        <w:t>A protocol that encapsulates the Extensible Authentication Protocol (EAP) within an encrypted and authenticated TLS tunnel.</w:t>
      </w:r>
    </w:p>
    <w:p w14:paraId="494C9A1C" w14:textId="791DD9CA" w:rsidR="00863D8A" w:rsidRPr="00831DC5" w:rsidRDefault="13CAFA6A" w:rsidP="00A824E1">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13CAFA6A">
        <w:rPr>
          <w:rStyle w:val="normaltextrun"/>
          <w:rFonts w:ascii="Calibri" w:eastAsia="Calibri" w:hAnsi="Calibri" w:cs="Calibri"/>
          <w:color w:val="000000" w:themeColor="text1"/>
          <w:sz w:val="22"/>
          <w:szCs w:val="22"/>
          <w:u w:val="single"/>
        </w:rPr>
        <w:t>Service Set Identified (SSID)</w:t>
      </w:r>
      <w:r w:rsidR="009204C0">
        <w:rPr>
          <w:rStyle w:val="normaltextrun"/>
          <w:rFonts w:ascii="Calibri" w:eastAsia="Calibri" w:hAnsi="Calibri" w:cs="Calibri"/>
          <w:color w:val="000000" w:themeColor="text1"/>
          <w:sz w:val="22"/>
          <w:szCs w:val="22"/>
        </w:rPr>
        <w:t xml:space="preserve">: </w:t>
      </w:r>
      <w:r w:rsidRPr="13CAFA6A">
        <w:rPr>
          <w:rStyle w:val="normaltextrun"/>
          <w:rFonts w:ascii="Calibri" w:eastAsia="Calibri" w:hAnsi="Calibri" w:cs="Calibri"/>
          <w:color w:val="000000" w:themeColor="text1"/>
          <w:sz w:val="22"/>
          <w:szCs w:val="22"/>
        </w:rPr>
        <w:t>A case sensitive unique identifier attached to the header of packets sent over a wireless local-area network (W</w:t>
      </w:r>
      <w:r w:rsidR="009204C0">
        <w:rPr>
          <w:rStyle w:val="normaltextrun"/>
          <w:rFonts w:ascii="Calibri" w:eastAsia="Calibri" w:hAnsi="Calibri" w:cs="Calibri"/>
          <w:color w:val="000000" w:themeColor="text1"/>
          <w:sz w:val="22"/>
          <w:szCs w:val="22"/>
        </w:rPr>
        <w:t>LAN); the broad</w:t>
      </w:r>
      <w:r w:rsidRPr="13CAFA6A">
        <w:rPr>
          <w:rStyle w:val="normaltextrun"/>
          <w:rFonts w:ascii="Calibri" w:eastAsia="Calibri" w:hAnsi="Calibri" w:cs="Calibri"/>
          <w:color w:val="000000" w:themeColor="text1"/>
          <w:sz w:val="22"/>
          <w:szCs w:val="22"/>
        </w:rPr>
        <w:t>cast name of the network.</w:t>
      </w:r>
    </w:p>
    <w:p w14:paraId="38186DDB" w14:textId="28E56113" w:rsidR="00831DC5" w:rsidRPr="00831DC5" w:rsidRDefault="00831DC5" w:rsidP="00A824E1">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Pr>
          <w:rStyle w:val="normaltextrun"/>
          <w:rFonts w:ascii="Calibri" w:eastAsia="Calibri" w:hAnsi="Calibri" w:cs="Calibri"/>
          <w:color w:val="000000" w:themeColor="text1"/>
          <w:sz w:val="22"/>
          <w:szCs w:val="22"/>
          <w:u w:val="single"/>
        </w:rPr>
        <w:t>Secure Simple Pairing (SSP</w:t>
      </w:r>
      <w:r w:rsidRPr="13CAFA6A">
        <w:rPr>
          <w:rStyle w:val="normaltextrun"/>
          <w:rFonts w:ascii="Calibri" w:eastAsia="Calibri" w:hAnsi="Calibri" w:cs="Calibri"/>
          <w:color w:val="000000" w:themeColor="text1"/>
          <w:sz w:val="22"/>
          <w:szCs w:val="22"/>
          <w:u w:val="single"/>
        </w:rPr>
        <w:t>)</w:t>
      </w:r>
      <w:r>
        <w:rPr>
          <w:rStyle w:val="normaltextrun"/>
          <w:rFonts w:ascii="Calibri" w:eastAsia="Calibri" w:hAnsi="Calibri" w:cs="Calibri"/>
          <w:color w:val="000000" w:themeColor="text1"/>
          <w:sz w:val="22"/>
          <w:szCs w:val="22"/>
        </w:rPr>
        <w:t xml:space="preserve">: </w:t>
      </w:r>
      <w:r w:rsidR="00076642">
        <w:rPr>
          <w:rStyle w:val="normaltextrun"/>
          <w:rFonts w:ascii="Calibri" w:eastAsia="Calibri" w:hAnsi="Calibri" w:cs="Calibri"/>
          <w:color w:val="000000" w:themeColor="text1"/>
          <w:sz w:val="22"/>
          <w:szCs w:val="22"/>
        </w:rPr>
        <w:t>A feature of Bluetooth that was created to address concerns related to security and the simplicity of the pairing process.</w:t>
      </w:r>
    </w:p>
    <w:p w14:paraId="637C109A" w14:textId="7DC293E5" w:rsidR="00863D8A" w:rsidRPr="000D0721" w:rsidRDefault="13CAFA6A" w:rsidP="00A824E1">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13CAFA6A">
        <w:rPr>
          <w:rStyle w:val="normaltextrun"/>
          <w:rFonts w:ascii="Calibri" w:eastAsia="Calibri" w:hAnsi="Calibri" w:cs="Calibri"/>
          <w:color w:val="000000" w:themeColor="text1"/>
          <w:sz w:val="22"/>
          <w:szCs w:val="22"/>
          <w:u w:val="single"/>
        </w:rPr>
        <w:t>Temporal Key Integrity Protocol (TKIP)</w:t>
      </w:r>
      <w:r w:rsidR="009204C0">
        <w:rPr>
          <w:rStyle w:val="normaltextrun"/>
          <w:rFonts w:ascii="Calibri" w:eastAsia="Calibri" w:hAnsi="Calibri" w:cs="Calibri"/>
          <w:color w:val="000000" w:themeColor="text1"/>
          <w:sz w:val="22"/>
          <w:szCs w:val="22"/>
        </w:rPr>
        <w:t xml:space="preserve">: </w:t>
      </w:r>
      <w:r w:rsidRPr="13CAFA6A">
        <w:rPr>
          <w:rStyle w:val="normaltextrun"/>
          <w:rFonts w:ascii="Calibri" w:eastAsia="Calibri" w:hAnsi="Calibri" w:cs="Calibri"/>
          <w:color w:val="000000" w:themeColor="text1"/>
          <w:sz w:val="22"/>
          <w:szCs w:val="22"/>
        </w:rPr>
        <w:t>An encryption protocol included in the IEEE 802.11i standard for Wireless LANs; provides more secure encryption than the original WLAN security protocol (WEP.)</w:t>
      </w:r>
    </w:p>
    <w:p w14:paraId="53EFE591" w14:textId="095F2F45" w:rsidR="000D0721" w:rsidRDefault="000D0721"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23A51ED1" w14:textId="3F23FA80" w:rsidR="00D121FA" w:rsidRDefault="00D121FA"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624DE367" w14:textId="54A884B7" w:rsidR="00D121FA" w:rsidRDefault="00D121FA"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5FF84EA0" w14:textId="02DF71C6" w:rsidR="00D121FA" w:rsidRDefault="00D121FA"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511C5C4C" w14:textId="1D76698A" w:rsidR="00D121FA" w:rsidRDefault="00D121FA"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62BB870E" w14:textId="5E3A69BD" w:rsidR="00967294" w:rsidRDefault="00967294"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01F76F53" w14:textId="60CC761C" w:rsidR="00967294" w:rsidRDefault="00967294"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1EDC031D" w14:textId="5A0005DE" w:rsidR="00076642" w:rsidRDefault="00076642"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4DEDEBD1" w14:textId="77777777" w:rsidR="00076642" w:rsidRDefault="00076642"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sectPr w:rsidR="00076642" w:rsidSect="00F779A9">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9D674" w14:textId="77777777" w:rsidR="008E24D9" w:rsidRDefault="008E24D9" w:rsidP="0068634E">
      <w:pPr>
        <w:spacing w:after="0" w:line="240" w:lineRule="auto"/>
      </w:pPr>
      <w:r>
        <w:separator/>
      </w:r>
    </w:p>
  </w:endnote>
  <w:endnote w:type="continuationSeparator" w:id="0">
    <w:p w14:paraId="04623395" w14:textId="77777777" w:rsidR="008E24D9" w:rsidRDefault="008E24D9"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9FF4" w14:textId="77777777" w:rsidR="008E24D9" w:rsidRDefault="008E24D9" w:rsidP="0068634E">
      <w:pPr>
        <w:spacing w:after="0" w:line="240" w:lineRule="auto"/>
      </w:pPr>
      <w:r>
        <w:separator/>
      </w:r>
    </w:p>
  </w:footnote>
  <w:footnote w:type="continuationSeparator" w:id="0">
    <w:p w14:paraId="6D8A052E" w14:textId="77777777" w:rsidR="008E24D9" w:rsidRDefault="008E24D9"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4AD0"/>
    <w:multiLevelType w:val="hybridMultilevel"/>
    <w:tmpl w:val="74ECF96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4"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6"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10AA"/>
    <w:multiLevelType w:val="hybridMultilevel"/>
    <w:tmpl w:val="644AC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981329"/>
    <w:multiLevelType w:val="hybridMultilevel"/>
    <w:tmpl w:val="9006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3"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17"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18"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2"/>
  </w:num>
  <w:num w:numId="4">
    <w:abstractNumId w:val="3"/>
  </w:num>
  <w:num w:numId="5">
    <w:abstractNumId w:val="17"/>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num>
  <w:num w:numId="13">
    <w:abstractNumId w:val="14"/>
  </w:num>
  <w:num w:numId="14">
    <w:abstractNumId w:val="4"/>
  </w:num>
  <w:num w:numId="15">
    <w:abstractNumId w:val="19"/>
  </w:num>
  <w:num w:numId="16">
    <w:abstractNumId w:val="0"/>
  </w:num>
  <w:num w:numId="17">
    <w:abstractNumId w:val="10"/>
  </w:num>
  <w:num w:numId="18">
    <w:abstractNumId w:val="1"/>
  </w:num>
  <w:num w:numId="19">
    <w:abstractNumId w:val="7"/>
  </w:num>
  <w:num w:numId="20">
    <w:abstractNumId w:val="11"/>
  </w:num>
  <w:num w:numId="21">
    <w:abstractNumId w:val="18"/>
  </w:num>
  <w:num w:numId="22">
    <w:abstractNumId w:val="21"/>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1707F"/>
    <w:rsid w:val="00076642"/>
    <w:rsid w:val="00091591"/>
    <w:rsid w:val="000B0543"/>
    <w:rsid w:val="000D03A4"/>
    <w:rsid w:val="000D0721"/>
    <w:rsid w:val="000D457C"/>
    <w:rsid w:val="000F51D7"/>
    <w:rsid w:val="00160CEF"/>
    <w:rsid w:val="00165A93"/>
    <w:rsid w:val="001734D5"/>
    <w:rsid w:val="00191493"/>
    <w:rsid w:val="001C7314"/>
    <w:rsid w:val="002255BD"/>
    <w:rsid w:val="002B5045"/>
    <w:rsid w:val="002F1A52"/>
    <w:rsid w:val="00301669"/>
    <w:rsid w:val="00374788"/>
    <w:rsid w:val="003C0A3B"/>
    <w:rsid w:val="003E29ED"/>
    <w:rsid w:val="00423A5F"/>
    <w:rsid w:val="00494F83"/>
    <w:rsid w:val="005A5ACD"/>
    <w:rsid w:val="00611D8E"/>
    <w:rsid w:val="00613191"/>
    <w:rsid w:val="0068634E"/>
    <w:rsid w:val="006A0A14"/>
    <w:rsid w:val="00745509"/>
    <w:rsid w:val="00753D96"/>
    <w:rsid w:val="00773B51"/>
    <w:rsid w:val="00787876"/>
    <w:rsid w:val="007E0CFC"/>
    <w:rsid w:val="008049F9"/>
    <w:rsid w:val="00816580"/>
    <w:rsid w:val="00817943"/>
    <w:rsid w:val="00831DC5"/>
    <w:rsid w:val="008419F2"/>
    <w:rsid w:val="00843DA9"/>
    <w:rsid w:val="00863D8A"/>
    <w:rsid w:val="00874B42"/>
    <w:rsid w:val="008A201B"/>
    <w:rsid w:val="008D3491"/>
    <w:rsid w:val="008E24D9"/>
    <w:rsid w:val="008F7CA6"/>
    <w:rsid w:val="009204C0"/>
    <w:rsid w:val="009215FF"/>
    <w:rsid w:val="00936780"/>
    <w:rsid w:val="009539E5"/>
    <w:rsid w:val="00967294"/>
    <w:rsid w:val="00971561"/>
    <w:rsid w:val="009D5755"/>
    <w:rsid w:val="00A26A94"/>
    <w:rsid w:val="00A824E1"/>
    <w:rsid w:val="00A92B33"/>
    <w:rsid w:val="00AB50BB"/>
    <w:rsid w:val="00B12560"/>
    <w:rsid w:val="00B3355E"/>
    <w:rsid w:val="00B72B1A"/>
    <w:rsid w:val="00B80156"/>
    <w:rsid w:val="00BA1831"/>
    <w:rsid w:val="00BE7B69"/>
    <w:rsid w:val="00C928C1"/>
    <w:rsid w:val="00CA247A"/>
    <w:rsid w:val="00CE6369"/>
    <w:rsid w:val="00D02E7B"/>
    <w:rsid w:val="00D121FA"/>
    <w:rsid w:val="00D34B0A"/>
    <w:rsid w:val="00DC27B6"/>
    <w:rsid w:val="00DC73E7"/>
    <w:rsid w:val="00DE49DD"/>
    <w:rsid w:val="00E335E0"/>
    <w:rsid w:val="00E57D3B"/>
    <w:rsid w:val="00E735A9"/>
    <w:rsid w:val="00EA2A94"/>
    <w:rsid w:val="00EE6BE2"/>
    <w:rsid w:val="00F109E0"/>
    <w:rsid w:val="00F779A9"/>
    <w:rsid w:val="00FA77E7"/>
    <w:rsid w:val="0FF1BCDD"/>
    <w:rsid w:val="13CAFA6A"/>
    <w:rsid w:val="1488FA52"/>
    <w:rsid w:val="4375D63D"/>
    <w:rsid w:val="4CE715DF"/>
    <w:rsid w:val="57E87582"/>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C247-3CFA-4114-9F33-13A59359A8A7}"/>
</file>

<file path=customXml/itemProps2.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3.xml><?xml version="1.0" encoding="utf-8"?>
<ds:datastoreItem xmlns:ds="http://schemas.openxmlformats.org/officeDocument/2006/customXml" ds:itemID="{2B0B8D4E-E5BF-4FA7-BFF5-176CFCA4155D}">
  <ds:schemaRefs>
    <ds:schemaRef ds:uri="http://schemas.microsoft.com/office/2006/documentManagement/types"/>
    <ds:schemaRef ds:uri="f02ba75f-b561-4f6e-9550-d0f816c2dcc2"/>
    <ds:schemaRef ds:uri="http://purl.org/dc/terms/"/>
    <ds:schemaRef ds:uri="http://purl.org/dc/elements/1.1/"/>
    <ds:schemaRef ds:uri="http://schemas.openxmlformats.org/package/2006/metadata/core-properties"/>
    <ds:schemaRef ds:uri="http://www.w3.org/XML/1998/namespace"/>
    <ds:schemaRef ds:uri="9085dc96-1cc8-4ce6-870c-27a430893eb3"/>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6FBD175-83A9-47D8-8AD7-5141AF68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Wireless Infrastructure Standard V1 (CSP017)</vt:lpstr>
    </vt:vector>
  </TitlesOfParts>
  <Company>Microsoft</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Wireless Infrastructure Standard</dc:title>
  <dc:subject/>
  <dc:creator>Christy Johnston</dc:creator>
  <cp:keywords/>
  <dc:description/>
  <cp:lastModifiedBy>Christy Johnston</cp:lastModifiedBy>
  <cp:revision>17</cp:revision>
  <cp:lastPrinted>2016-10-28T20:38:00Z</cp:lastPrinted>
  <dcterms:created xsi:type="dcterms:W3CDTF">2017-02-06T16:43:00Z</dcterms:created>
  <dcterms:modified xsi:type="dcterms:W3CDTF">2017-12-05T21:36:00Z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