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FE6" w:rsidRPr="007B6EF4" w:rsidRDefault="000448E8" w:rsidP="006655A3">
      <w:pPr>
        <w:tabs>
          <w:tab w:val="right" w:pos="10350"/>
        </w:tabs>
        <w:spacing w:after="0"/>
        <w:rPr>
          <w:b/>
          <w:sz w:val="28"/>
        </w:rPr>
      </w:pPr>
      <w:r w:rsidRPr="007B6EF4">
        <w:rPr>
          <w:b/>
          <w:sz w:val="28"/>
        </w:rPr>
        <w:t>CRISIS RESPONSE SHEET</w:t>
      </w:r>
      <w:r w:rsidRPr="007B6EF4">
        <w:rPr>
          <w:b/>
          <w:sz w:val="28"/>
        </w:rPr>
        <w:tab/>
      </w:r>
      <w:r w:rsidR="006655A3">
        <w:rPr>
          <w:b/>
          <w:sz w:val="28"/>
        </w:rPr>
        <w:t>HOMICIDE</w:t>
      </w:r>
    </w:p>
    <w:tbl>
      <w:tblPr>
        <w:tblStyle w:val="TableGrid"/>
        <w:tblW w:w="5003" w:type="pct"/>
        <w:tblLayout w:type="fixed"/>
        <w:tblLook w:val="04A0" w:firstRow="1" w:lastRow="0" w:firstColumn="1" w:lastColumn="0" w:noHBand="0" w:noVBand="1"/>
      </w:tblPr>
      <w:tblGrid>
        <w:gridCol w:w="1275"/>
        <w:gridCol w:w="1364"/>
        <w:gridCol w:w="3230"/>
        <w:gridCol w:w="2065"/>
        <w:gridCol w:w="1529"/>
        <w:gridCol w:w="1127"/>
      </w:tblGrid>
      <w:tr w:rsidR="00C7610A" w:rsidRPr="009B24E6" w:rsidTr="00C7610A">
        <w:tc>
          <w:tcPr>
            <w:tcW w:w="5000" w:type="pct"/>
            <w:gridSpan w:val="6"/>
            <w:tcBorders>
              <w:bottom w:val="single" w:sz="4" w:space="0" w:color="auto"/>
            </w:tcBorders>
            <w:shd w:val="pct10" w:color="auto" w:fill="auto"/>
          </w:tcPr>
          <w:p w:rsidR="00C7610A" w:rsidRPr="009B24E6" w:rsidRDefault="00C7610A" w:rsidP="007B6EF4">
            <w:pPr>
              <w:jc w:val="center"/>
              <w:rPr>
                <w:b/>
                <w:smallCaps/>
              </w:rPr>
            </w:pPr>
            <w:r w:rsidRPr="007B6EF4">
              <w:rPr>
                <w:b/>
                <w:smallCaps/>
                <w:sz w:val="28"/>
              </w:rPr>
              <w:t xml:space="preserve">Immediate Action </w:t>
            </w:r>
            <w:r>
              <w:rPr>
                <w:b/>
                <w:smallCaps/>
                <w:sz w:val="28"/>
              </w:rPr>
              <w:t>Steps</w:t>
            </w:r>
          </w:p>
        </w:tc>
      </w:tr>
      <w:tr w:rsidR="00C7610A" w:rsidRPr="00652D10" w:rsidTr="000616C5">
        <w:tc>
          <w:tcPr>
            <w:tcW w:w="602" w:type="pct"/>
            <w:shd w:val="clear" w:color="auto" w:fill="auto"/>
            <w:vAlign w:val="center"/>
          </w:tcPr>
          <w:p w:rsidR="00C7610A" w:rsidRPr="006E4E34" w:rsidRDefault="00C7610A" w:rsidP="00D73D05">
            <w:pPr>
              <w:rPr>
                <w:b/>
                <w:smallCaps/>
              </w:rPr>
            </w:pPr>
            <w:r w:rsidRPr="006E4E34">
              <w:rPr>
                <w:b/>
                <w:smallCaps/>
              </w:rPr>
              <w:t>Facts</w:t>
            </w:r>
          </w:p>
        </w:tc>
        <w:tc>
          <w:tcPr>
            <w:tcW w:w="4398" w:type="pct"/>
            <w:gridSpan w:val="5"/>
            <w:shd w:val="clear" w:color="auto" w:fill="auto"/>
            <w:vAlign w:val="center"/>
          </w:tcPr>
          <w:p w:rsidR="00C7610A" w:rsidRPr="00CA0EE7" w:rsidRDefault="00C7610A" w:rsidP="00C7610A">
            <w:pPr>
              <w:rPr>
                <w:b/>
                <w:smallCaps/>
              </w:rPr>
            </w:pPr>
            <w:r w:rsidRPr="00CA0EE7">
              <w:t>Take a minute to write down what has been verified as true.   What still needs to be verified?</w:t>
            </w:r>
          </w:p>
        </w:tc>
      </w:tr>
      <w:tr w:rsidR="00C7610A" w:rsidRPr="00652D10" w:rsidTr="000616C5">
        <w:tc>
          <w:tcPr>
            <w:tcW w:w="602" w:type="pct"/>
            <w:shd w:val="clear" w:color="auto" w:fill="auto"/>
            <w:vAlign w:val="center"/>
          </w:tcPr>
          <w:p w:rsidR="00C7610A" w:rsidRPr="006E4E34" w:rsidRDefault="00C7610A" w:rsidP="00D73D05">
            <w:pPr>
              <w:rPr>
                <w:b/>
                <w:smallCaps/>
              </w:rPr>
            </w:pPr>
            <w:r w:rsidRPr="006E4E34">
              <w:rPr>
                <w:b/>
                <w:smallCaps/>
              </w:rPr>
              <w:t>Impacts</w:t>
            </w:r>
          </w:p>
        </w:tc>
        <w:tc>
          <w:tcPr>
            <w:tcW w:w="4398" w:type="pct"/>
            <w:gridSpan w:val="5"/>
            <w:shd w:val="clear" w:color="auto" w:fill="auto"/>
            <w:vAlign w:val="center"/>
          </w:tcPr>
          <w:p w:rsidR="00C7610A" w:rsidRPr="00CA0EE7" w:rsidRDefault="00C7610A" w:rsidP="00C7610A">
            <w:pPr>
              <w:rPr>
                <w:b/>
              </w:rPr>
            </w:pPr>
            <w:r w:rsidRPr="00CA0EE7">
              <w:t>Create a list of impacts.  How many students and staff will be impacted and to what degree?  Are there related safety concerns?  How intense do you expect media interest will be?</w:t>
            </w:r>
          </w:p>
        </w:tc>
      </w:tr>
      <w:tr w:rsidR="00C7610A" w:rsidRPr="00652D10" w:rsidTr="000616C5">
        <w:tc>
          <w:tcPr>
            <w:tcW w:w="602" w:type="pct"/>
            <w:shd w:val="clear" w:color="auto" w:fill="auto"/>
            <w:vAlign w:val="center"/>
          </w:tcPr>
          <w:p w:rsidR="00C7610A" w:rsidRPr="006E4E34" w:rsidRDefault="00C7610A" w:rsidP="00D73D05">
            <w:pPr>
              <w:rPr>
                <w:b/>
                <w:smallCaps/>
              </w:rPr>
            </w:pPr>
            <w:r w:rsidRPr="006E4E34">
              <w:rPr>
                <w:b/>
                <w:smallCaps/>
              </w:rPr>
              <w:t>Resources</w:t>
            </w:r>
          </w:p>
        </w:tc>
        <w:tc>
          <w:tcPr>
            <w:tcW w:w="4398" w:type="pct"/>
            <w:gridSpan w:val="5"/>
            <w:shd w:val="clear" w:color="auto" w:fill="auto"/>
            <w:vAlign w:val="center"/>
          </w:tcPr>
          <w:p w:rsidR="00C7610A" w:rsidRPr="00CA0EE7" w:rsidRDefault="00C7610A" w:rsidP="00C7610A">
            <w:pPr>
              <w:rPr>
                <w:b/>
              </w:rPr>
            </w:pPr>
            <w:r w:rsidRPr="00CA0EE7">
              <w:t>Will you need additional resources to respond to this crisis?</w:t>
            </w:r>
            <w:r>
              <w:t xml:space="preserve"> </w:t>
            </w:r>
            <w:r w:rsidR="00D73D05">
              <w:t>(Mental health, subs, s</w:t>
            </w:r>
            <w:r>
              <w:t xml:space="preserve">ecurity, </w:t>
            </w:r>
            <w:r w:rsidR="00D73D05">
              <w:t xml:space="preserve">media relations, </w:t>
            </w:r>
            <w:r>
              <w:t>etc.</w:t>
            </w:r>
            <w:r w:rsidR="00D73D05">
              <w:t>)</w:t>
            </w:r>
          </w:p>
        </w:tc>
      </w:tr>
      <w:tr w:rsidR="00C7610A" w:rsidRPr="00652D10" w:rsidTr="000616C5">
        <w:tc>
          <w:tcPr>
            <w:tcW w:w="602" w:type="pct"/>
            <w:shd w:val="clear" w:color="auto" w:fill="auto"/>
            <w:vAlign w:val="center"/>
          </w:tcPr>
          <w:p w:rsidR="00C7610A" w:rsidRPr="006E4E34" w:rsidRDefault="00C7610A" w:rsidP="00D73D05">
            <w:pPr>
              <w:rPr>
                <w:b/>
                <w:smallCaps/>
              </w:rPr>
            </w:pPr>
            <w:r w:rsidRPr="006E4E34">
              <w:rPr>
                <w:b/>
                <w:smallCaps/>
              </w:rPr>
              <w:t>District Office</w:t>
            </w:r>
          </w:p>
        </w:tc>
        <w:tc>
          <w:tcPr>
            <w:tcW w:w="4398" w:type="pct"/>
            <w:gridSpan w:val="5"/>
            <w:shd w:val="clear" w:color="auto" w:fill="auto"/>
            <w:vAlign w:val="center"/>
          </w:tcPr>
          <w:p w:rsidR="00C7610A" w:rsidRPr="00CA0EE7" w:rsidRDefault="00C7610A" w:rsidP="00C7610A">
            <w:pPr>
              <w:rPr>
                <w:b/>
              </w:rPr>
            </w:pPr>
            <w:r w:rsidRPr="00CA0EE7">
              <w:t>Share the facts, discuss likely impacts and ask for help.</w:t>
            </w:r>
          </w:p>
        </w:tc>
      </w:tr>
      <w:tr w:rsidR="00C7610A" w:rsidRPr="00652D10" w:rsidTr="000616C5">
        <w:tc>
          <w:tcPr>
            <w:tcW w:w="602" w:type="pct"/>
            <w:shd w:val="clear" w:color="auto" w:fill="auto"/>
            <w:vAlign w:val="center"/>
          </w:tcPr>
          <w:p w:rsidR="00C7610A" w:rsidRPr="006E4E34" w:rsidRDefault="000616C5" w:rsidP="00D73D05">
            <w:pPr>
              <w:rPr>
                <w:b/>
                <w:smallCaps/>
              </w:rPr>
            </w:pPr>
            <w:r>
              <w:rPr>
                <w:b/>
                <w:smallCaps/>
              </w:rPr>
              <w:t xml:space="preserve">Activate </w:t>
            </w:r>
            <w:r w:rsidR="00C7610A" w:rsidRPr="006E4E34">
              <w:rPr>
                <w:b/>
                <w:smallCaps/>
              </w:rPr>
              <w:t>Support</w:t>
            </w:r>
          </w:p>
        </w:tc>
        <w:tc>
          <w:tcPr>
            <w:tcW w:w="4398" w:type="pct"/>
            <w:gridSpan w:val="5"/>
            <w:shd w:val="clear" w:color="auto" w:fill="auto"/>
            <w:vAlign w:val="center"/>
          </w:tcPr>
          <w:p w:rsidR="00C7610A" w:rsidRPr="00CA0EE7" w:rsidRDefault="00C7610A" w:rsidP="00C7610A">
            <w:pPr>
              <w:rPr>
                <w:b/>
              </w:rPr>
            </w:pPr>
            <w:r w:rsidRPr="00CA0EE7">
              <w:t>Alert site/district mental health staff.  Set aside multiple locations for crisis counseling.</w:t>
            </w:r>
          </w:p>
        </w:tc>
      </w:tr>
      <w:tr w:rsidR="00C7610A" w:rsidRPr="00652D10" w:rsidTr="000616C5">
        <w:tc>
          <w:tcPr>
            <w:tcW w:w="602" w:type="pct"/>
            <w:shd w:val="clear" w:color="auto" w:fill="auto"/>
            <w:vAlign w:val="center"/>
          </w:tcPr>
          <w:p w:rsidR="00C7610A" w:rsidRPr="006E4E34" w:rsidRDefault="00C7610A" w:rsidP="00D73D05">
            <w:pPr>
              <w:rPr>
                <w:b/>
                <w:smallCaps/>
              </w:rPr>
            </w:pPr>
            <w:r w:rsidRPr="006E4E34">
              <w:rPr>
                <w:b/>
                <w:smallCaps/>
              </w:rPr>
              <w:t>Safety</w:t>
            </w:r>
          </w:p>
        </w:tc>
        <w:tc>
          <w:tcPr>
            <w:tcW w:w="4398" w:type="pct"/>
            <w:gridSpan w:val="5"/>
            <w:shd w:val="clear" w:color="auto" w:fill="auto"/>
            <w:vAlign w:val="center"/>
          </w:tcPr>
          <w:p w:rsidR="00C7610A" w:rsidRPr="00CA0EE7" w:rsidRDefault="00C7610A" w:rsidP="00C7610A">
            <w:pPr>
              <w:rPr>
                <w:b/>
              </w:rPr>
            </w:pPr>
            <w:r w:rsidRPr="00CA0EE7">
              <w:t>Prepare st</w:t>
            </w:r>
            <w:r w:rsidR="00D96378">
              <w:t>aff with procedures for managing</w:t>
            </w:r>
            <w:r w:rsidRPr="00CA0EE7">
              <w:t xml:space="preserve"> </w:t>
            </w:r>
            <w:r w:rsidR="00D96378">
              <w:t>and screening visitors to the campus</w:t>
            </w:r>
            <w:r w:rsidRPr="00CA0EE7">
              <w:t>.  Create a plan to counter any threats to campus safety.</w:t>
            </w:r>
          </w:p>
        </w:tc>
      </w:tr>
      <w:tr w:rsidR="00C7610A" w:rsidRPr="00652D10" w:rsidTr="000616C5">
        <w:tc>
          <w:tcPr>
            <w:tcW w:w="602" w:type="pct"/>
            <w:shd w:val="clear" w:color="auto" w:fill="auto"/>
            <w:vAlign w:val="center"/>
          </w:tcPr>
          <w:p w:rsidR="00C7610A" w:rsidRPr="006E4E34" w:rsidRDefault="00C7610A" w:rsidP="00D73D05">
            <w:pPr>
              <w:rPr>
                <w:b/>
                <w:smallCaps/>
              </w:rPr>
            </w:pPr>
            <w:r w:rsidRPr="006E4E34">
              <w:rPr>
                <w:b/>
                <w:smallCaps/>
              </w:rPr>
              <w:t>Media</w:t>
            </w:r>
          </w:p>
        </w:tc>
        <w:tc>
          <w:tcPr>
            <w:tcW w:w="4398" w:type="pct"/>
            <w:gridSpan w:val="5"/>
            <w:shd w:val="clear" w:color="auto" w:fill="auto"/>
            <w:vAlign w:val="center"/>
          </w:tcPr>
          <w:p w:rsidR="00C7610A" w:rsidRPr="00CA0EE7" w:rsidRDefault="00C7610A" w:rsidP="00C7610A">
            <w:pPr>
              <w:rPr>
                <w:b/>
              </w:rPr>
            </w:pPr>
            <w:r w:rsidRPr="00CA0EE7">
              <w:t>Designate a Public Information Officer to respond to media inquiries.  Use your talking points.</w:t>
            </w:r>
          </w:p>
        </w:tc>
      </w:tr>
      <w:tr w:rsidR="00C7610A" w:rsidRPr="00652D10" w:rsidTr="000616C5">
        <w:tc>
          <w:tcPr>
            <w:tcW w:w="602" w:type="pct"/>
            <w:shd w:val="clear" w:color="auto" w:fill="auto"/>
            <w:vAlign w:val="center"/>
          </w:tcPr>
          <w:p w:rsidR="00C7610A" w:rsidRPr="006E4E34" w:rsidRDefault="00C7610A" w:rsidP="00D73D05">
            <w:pPr>
              <w:rPr>
                <w:b/>
                <w:smallCaps/>
              </w:rPr>
            </w:pPr>
            <w:r w:rsidRPr="006E4E34">
              <w:rPr>
                <w:b/>
                <w:smallCaps/>
              </w:rPr>
              <w:t>Talking Points</w:t>
            </w:r>
          </w:p>
        </w:tc>
        <w:tc>
          <w:tcPr>
            <w:tcW w:w="4398" w:type="pct"/>
            <w:gridSpan w:val="5"/>
            <w:shd w:val="clear" w:color="auto" w:fill="auto"/>
            <w:vAlign w:val="center"/>
          </w:tcPr>
          <w:p w:rsidR="00C7610A" w:rsidRPr="00CA0EE7" w:rsidRDefault="00C7610A" w:rsidP="00C7610A">
            <w:pPr>
              <w:rPr>
                <w:b/>
              </w:rPr>
            </w:pPr>
            <w:r w:rsidRPr="00CA0EE7">
              <w:t xml:space="preserve">Create a list of talking points. Emphasize the schools’ </w:t>
            </w:r>
            <w:r w:rsidR="008451E8">
              <w:t xml:space="preserve">crisis </w:t>
            </w:r>
            <w:r w:rsidRPr="00CA0EE7">
              <w:t xml:space="preserve">response.  </w:t>
            </w:r>
            <w:r w:rsidR="008451E8">
              <w:t xml:space="preserve">Address steps taken to increase student safety.  </w:t>
            </w:r>
            <w:r w:rsidRPr="00CA0EE7">
              <w:t>Avoid discussion of details related to the death.  Avoid speculation.  Sample talking points are included as a resource.</w:t>
            </w:r>
          </w:p>
        </w:tc>
      </w:tr>
      <w:tr w:rsidR="00C7610A" w:rsidRPr="00652D10" w:rsidTr="000616C5">
        <w:tc>
          <w:tcPr>
            <w:tcW w:w="602" w:type="pct"/>
            <w:shd w:val="clear" w:color="auto" w:fill="auto"/>
            <w:vAlign w:val="center"/>
          </w:tcPr>
          <w:p w:rsidR="00C7610A" w:rsidRPr="006E4E34" w:rsidRDefault="00C7610A" w:rsidP="00D73D05">
            <w:pPr>
              <w:rPr>
                <w:b/>
                <w:smallCaps/>
              </w:rPr>
            </w:pPr>
            <w:r w:rsidRPr="006E4E34">
              <w:rPr>
                <w:b/>
                <w:smallCaps/>
              </w:rPr>
              <w:t>Staff</w:t>
            </w:r>
          </w:p>
        </w:tc>
        <w:tc>
          <w:tcPr>
            <w:tcW w:w="4398" w:type="pct"/>
            <w:gridSpan w:val="5"/>
            <w:shd w:val="clear" w:color="auto" w:fill="auto"/>
            <w:vAlign w:val="center"/>
          </w:tcPr>
          <w:p w:rsidR="00C7610A" w:rsidRPr="00CA0EE7" w:rsidRDefault="00C7610A" w:rsidP="00D96378">
            <w:pPr>
              <w:rPr>
                <w:b/>
              </w:rPr>
            </w:pPr>
            <w:r w:rsidRPr="00CA0EE7">
              <w:t xml:space="preserve">Schedule a staff meeting ASAP to review crisis response and campus safety procedures.  (A sample meeting agenda is included as a resource.)  </w:t>
            </w:r>
            <w:r w:rsidR="00D96378">
              <w:t xml:space="preserve">Have an administrator contact staff members who were closest to </w:t>
            </w:r>
            <w:r w:rsidR="00FD3EB1">
              <w:t>the deceased to check on how they’re</w:t>
            </w:r>
            <w:r w:rsidR="00D96378">
              <w:t xml:space="preserve"> doing and</w:t>
            </w:r>
            <w:r w:rsidR="00FD3EB1">
              <w:t xml:space="preserve"> to</w:t>
            </w:r>
            <w:bookmarkStart w:id="0" w:name="_GoBack"/>
            <w:bookmarkEnd w:id="0"/>
            <w:r w:rsidR="00D96378">
              <w:t xml:space="preserve"> offer </w:t>
            </w:r>
            <w:r w:rsidRPr="00CA0EE7">
              <w:t>support.</w:t>
            </w:r>
          </w:p>
        </w:tc>
      </w:tr>
      <w:tr w:rsidR="00C7610A" w:rsidRPr="00652D10" w:rsidTr="000616C5">
        <w:tc>
          <w:tcPr>
            <w:tcW w:w="602" w:type="pct"/>
            <w:shd w:val="clear" w:color="auto" w:fill="auto"/>
            <w:vAlign w:val="center"/>
          </w:tcPr>
          <w:p w:rsidR="00C7610A" w:rsidRPr="006E4E34" w:rsidRDefault="00C7610A" w:rsidP="00D73D05">
            <w:pPr>
              <w:rPr>
                <w:b/>
                <w:smallCaps/>
              </w:rPr>
            </w:pPr>
            <w:r w:rsidRPr="006E4E34">
              <w:rPr>
                <w:b/>
                <w:smallCaps/>
              </w:rPr>
              <w:t>Students</w:t>
            </w:r>
          </w:p>
        </w:tc>
        <w:tc>
          <w:tcPr>
            <w:tcW w:w="4398" w:type="pct"/>
            <w:gridSpan w:val="5"/>
            <w:shd w:val="clear" w:color="auto" w:fill="auto"/>
            <w:vAlign w:val="center"/>
          </w:tcPr>
          <w:p w:rsidR="00C7610A" w:rsidRPr="00CA0EE7" w:rsidRDefault="00C7610A" w:rsidP="00C7610A">
            <w:pPr>
              <w:rPr>
                <w:b/>
              </w:rPr>
            </w:pPr>
            <w:r w:rsidRPr="00CA0EE7">
              <w:t xml:space="preserve">Identify and respond to students closest to the deceased. Have counselors visit classes of the deceased.  </w:t>
            </w:r>
            <w:r w:rsidRPr="00CA0EE7">
              <w:rPr>
                <w:rFonts w:cs="HelveticaLT-Light--Identity-H"/>
              </w:rPr>
              <w:t>Inform students (as needed) through discussion in classrooms and smaller venues, not assemblies or schoolwide announcements.  (D</w:t>
            </w:r>
            <w:r w:rsidRPr="00CA0EE7">
              <w:t>eath notification resources are included.)</w:t>
            </w:r>
          </w:p>
        </w:tc>
      </w:tr>
      <w:tr w:rsidR="00C7610A" w:rsidRPr="00652D10" w:rsidTr="000616C5">
        <w:tc>
          <w:tcPr>
            <w:tcW w:w="602" w:type="pct"/>
            <w:shd w:val="clear" w:color="auto" w:fill="auto"/>
            <w:vAlign w:val="center"/>
          </w:tcPr>
          <w:p w:rsidR="00C7610A" w:rsidRPr="006E4E34" w:rsidRDefault="00C7610A" w:rsidP="00D73D05">
            <w:pPr>
              <w:rPr>
                <w:b/>
                <w:smallCaps/>
              </w:rPr>
            </w:pPr>
            <w:r w:rsidRPr="006E4E34">
              <w:rPr>
                <w:b/>
                <w:smallCaps/>
              </w:rPr>
              <w:t>Parents</w:t>
            </w:r>
          </w:p>
        </w:tc>
        <w:tc>
          <w:tcPr>
            <w:tcW w:w="4398" w:type="pct"/>
            <w:gridSpan w:val="5"/>
            <w:shd w:val="clear" w:color="auto" w:fill="auto"/>
            <w:vAlign w:val="center"/>
          </w:tcPr>
          <w:p w:rsidR="00C7610A" w:rsidRPr="00CA0EE7" w:rsidRDefault="00C7610A" w:rsidP="00C7610A">
            <w:pPr>
              <w:rPr>
                <w:b/>
              </w:rPr>
            </w:pPr>
            <w:r w:rsidRPr="00CA0EE7">
              <w:t>Prepare phone staff with talking points.  Designate administrative staff to respond to parent inquiries.  Schedule parent meeting to share the school’s crisis and school safety response. Include law enforcement and community mental health resources.</w:t>
            </w:r>
          </w:p>
        </w:tc>
      </w:tr>
      <w:tr w:rsidR="00C7610A" w:rsidRPr="00652D10" w:rsidTr="000616C5">
        <w:tc>
          <w:tcPr>
            <w:tcW w:w="602" w:type="pct"/>
            <w:shd w:val="clear" w:color="auto" w:fill="auto"/>
            <w:vAlign w:val="center"/>
          </w:tcPr>
          <w:p w:rsidR="00C7610A" w:rsidRPr="006E4E34" w:rsidRDefault="00C7610A" w:rsidP="00D73D05">
            <w:pPr>
              <w:rPr>
                <w:b/>
                <w:smallCaps/>
              </w:rPr>
            </w:pPr>
            <w:r w:rsidRPr="006E4E34">
              <w:rPr>
                <w:b/>
                <w:smallCaps/>
              </w:rPr>
              <w:t>Family</w:t>
            </w:r>
          </w:p>
        </w:tc>
        <w:tc>
          <w:tcPr>
            <w:tcW w:w="4398" w:type="pct"/>
            <w:gridSpan w:val="5"/>
            <w:shd w:val="clear" w:color="auto" w:fill="auto"/>
            <w:vAlign w:val="center"/>
          </w:tcPr>
          <w:p w:rsidR="00C7610A" w:rsidRPr="00CA0EE7" w:rsidRDefault="00C7610A" w:rsidP="00C7610A">
            <w:pPr>
              <w:rPr>
                <w:b/>
              </w:rPr>
            </w:pPr>
            <w:r w:rsidRPr="00CA0EE7">
              <w:rPr>
                <w:rFonts w:cs="HelveticaLT-Light--Identity-H"/>
              </w:rPr>
              <w:t>Contact the victim’s family to offer support and determine their preferences for student outreach, expressions of grief, and funeral arrangements/attendance.</w:t>
            </w:r>
          </w:p>
        </w:tc>
      </w:tr>
      <w:tr w:rsidR="00C7610A" w:rsidRPr="00652D10" w:rsidTr="000616C5">
        <w:tc>
          <w:tcPr>
            <w:tcW w:w="602" w:type="pct"/>
            <w:shd w:val="clear" w:color="auto" w:fill="auto"/>
            <w:vAlign w:val="center"/>
          </w:tcPr>
          <w:p w:rsidR="00C7610A" w:rsidRPr="006E4E34" w:rsidRDefault="00C7610A" w:rsidP="00D73D05">
            <w:pPr>
              <w:rPr>
                <w:b/>
                <w:smallCaps/>
              </w:rPr>
            </w:pPr>
            <w:r w:rsidRPr="006E4E34">
              <w:rPr>
                <w:b/>
                <w:smallCaps/>
              </w:rPr>
              <w:t>Operations</w:t>
            </w:r>
          </w:p>
        </w:tc>
        <w:tc>
          <w:tcPr>
            <w:tcW w:w="4398" w:type="pct"/>
            <w:gridSpan w:val="5"/>
            <w:shd w:val="clear" w:color="auto" w:fill="auto"/>
            <w:vAlign w:val="center"/>
          </w:tcPr>
          <w:p w:rsidR="00C7610A" w:rsidRPr="00CA0EE7" w:rsidRDefault="00C7610A" w:rsidP="00C7610A">
            <w:pPr>
              <w:rPr>
                <w:b/>
              </w:rPr>
            </w:pPr>
            <w:r w:rsidRPr="00CA0EE7">
              <w:t>Consider bringing in several substitutes to cover staff in crisis on an as needed basis.</w:t>
            </w:r>
          </w:p>
        </w:tc>
      </w:tr>
      <w:tr w:rsidR="00C7610A" w:rsidRPr="009B24E6" w:rsidTr="000616C5">
        <w:tc>
          <w:tcPr>
            <w:tcW w:w="602" w:type="pct"/>
            <w:tcBorders>
              <w:top w:val="single" w:sz="4" w:space="0" w:color="auto"/>
              <w:right w:val="nil"/>
            </w:tcBorders>
            <w:shd w:val="pct10" w:color="auto" w:fill="auto"/>
            <w:vAlign w:val="bottom"/>
          </w:tcPr>
          <w:p w:rsidR="00652D10" w:rsidRPr="009B24E6" w:rsidRDefault="00652D10" w:rsidP="00652D10">
            <w:pPr>
              <w:jc w:val="center"/>
              <w:rPr>
                <w:b/>
                <w:smallCaps/>
              </w:rPr>
            </w:pPr>
            <w:r w:rsidRPr="009B24E6">
              <w:rPr>
                <w:b/>
                <w:smallCaps/>
              </w:rPr>
              <w:t>Audience</w:t>
            </w:r>
            <w:r w:rsidR="00C7610A">
              <w:rPr>
                <w:b/>
                <w:smallCaps/>
              </w:rPr>
              <w:t>s</w:t>
            </w:r>
          </w:p>
        </w:tc>
        <w:tc>
          <w:tcPr>
            <w:tcW w:w="3866" w:type="pct"/>
            <w:gridSpan w:val="4"/>
            <w:tcBorders>
              <w:top w:val="single" w:sz="4" w:space="0" w:color="auto"/>
              <w:left w:val="nil"/>
              <w:right w:val="nil"/>
            </w:tcBorders>
            <w:shd w:val="pct10" w:color="auto" w:fill="auto"/>
            <w:vAlign w:val="bottom"/>
          </w:tcPr>
          <w:p w:rsidR="00652D10" w:rsidRPr="009B24E6" w:rsidRDefault="00652D10" w:rsidP="00652D10">
            <w:pPr>
              <w:jc w:val="center"/>
              <w:rPr>
                <w:b/>
                <w:smallCaps/>
              </w:rPr>
            </w:pPr>
            <w:r w:rsidRPr="007B6EF4">
              <w:rPr>
                <w:b/>
                <w:smallCaps/>
                <w:sz w:val="28"/>
              </w:rPr>
              <w:t>Resource Attachments</w:t>
            </w:r>
          </w:p>
        </w:tc>
        <w:tc>
          <w:tcPr>
            <w:tcW w:w="532" w:type="pct"/>
            <w:tcBorders>
              <w:top w:val="single" w:sz="4" w:space="0" w:color="auto"/>
              <w:left w:val="nil"/>
            </w:tcBorders>
            <w:shd w:val="pct10" w:color="auto" w:fill="auto"/>
            <w:vAlign w:val="bottom"/>
          </w:tcPr>
          <w:p w:rsidR="00652D10" w:rsidRPr="009B24E6" w:rsidRDefault="00652D10" w:rsidP="00652D10">
            <w:pPr>
              <w:jc w:val="center"/>
              <w:rPr>
                <w:b/>
                <w:smallCaps/>
              </w:rPr>
            </w:pPr>
            <w:r w:rsidRPr="009B24E6">
              <w:rPr>
                <w:b/>
                <w:smallCaps/>
              </w:rPr>
              <w:t>Type</w:t>
            </w:r>
          </w:p>
        </w:tc>
      </w:tr>
      <w:tr w:rsidR="00C7610A" w:rsidRPr="009B24E6" w:rsidTr="000616C5">
        <w:tc>
          <w:tcPr>
            <w:tcW w:w="602" w:type="pct"/>
            <w:vAlign w:val="center"/>
          </w:tcPr>
          <w:p w:rsidR="00652D10" w:rsidRPr="009B24E6" w:rsidRDefault="00652D10" w:rsidP="00C7610A">
            <w:pPr>
              <w:rPr>
                <w:b/>
                <w:smallCaps/>
              </w:rPr>
            </w:pPr>
            <w:r w:rsidRPr="009B24E6">
              <w:rPr>
                <w:b/>
                <w:smallCaps/>
              </w:rPr>
              <w:t>All</w:t>
            </w:r>
          </w:p>
        </w:tc>
        <w:tc>
          <w:tcPr>
            <w:tcW w:w="3866" w:type="pct"/>
            <w:gridSpan w:val="4"/>
            <w:shd w:val="clear" w:color="auto" w:fill="auto"/>
          </w:tcPr>
          <w:p w:rsidR="00652D10" w:rsidRPr="009B24E6" w:rsidRDefault="00652D10" w:rsidP="00BD3C8E">
            <w:r>
              <w:t>Example Talking Points – Homicide</w:t>
            </w:r>
          </w:p>
        </w:tc>
        <w:tc>
          <w:tcPr>
            <w:tcW w:w="532" w:type="pct"/>
            <w:shd w:val="clear" w:color="auto" w:fill="auto"/>
          </w:tcPr>
          <w:p w:rsidR="00652D10" w:rsidRPr="009B24E6" w:rsidRDefault="00652D10" w:rsidP="00BD3C8E">
            <w:r w:rsidRPr="009B24E6">
              <w:t>MS Word</w:t>
            </w:r>
          </w:p>
        </w:tc>
      </w:tr>
      <w:tr w:rsidR="000616C5" w:rsidRPr="009B24E6" w:rsidTr="000616C5">
        <w:tc>
          <w:tcPr>
            <w:tcW w:w="602" w:type="pct"/>
            <w:vMerge w:val="restart"/>
            <w:vAlign w:val="center"/>
          </w:tcPr>
          <w:p w:rsidR="000616C5" w:rsidRPr="009B24E6" w:rsidRDefault="000616C5" w:rsidP="00C7610A">
            <w:pPr>
              <w:rPr>
                <w:b/>
                <w:smallCaps/>
              </w:rPr>
            </w:pPr>
            <w:r w:rsidRPr="009B24E6">
              <w:rPr>
                <w:b/>
                <w:smallCaps/>
              </w:rPr>
              <w:t>Admin &amp; Counselors</w:t>
            </w:r>
          </w:p>
        </w:tc>
        <w:tc>
          <w:tcPr>
            <w:tcW w:w="3866" w:type="pct"/>
            <w:gridSpan w:val="4"/>
            <w:shd w:val="clear" w:color="auto" w:fill="auto"/>
          </w:tcPr>
          <w:p w:rsidR="000616C5" w:rsidRPr="009B24E6" w:rsidRDefault="000616C5" w:rsidP="00417BDE">
            <w:pPr>
              <w:rPr>
                <w:b/>
              </w:rPr>
            </w:pPr>
            <w:r w:rsidRPr="009B24E6">
              <w:rPr>
                <w:rFonts w:cs="Arial"/>
                <w:bCs/>
              </w:rPr>
              <w:t>“Deal</w:t>
            </w:r>
            <w:r>
              <w:rPr>
                <w:rFonts w:cs="Arial"/>
                <w:bCs/>
              </w:rPr>
              <w:t>ing with Death at School”</w:t>
            </w:r>
          </w:p>
        </w:tc>
        <w:tc>
          <w:tcPr>
            <w:tcW w:w="532" w:type="pct"/>
            <w:shd w:val="clear" w:color="auto" w:fill="auto"/>
          </w:tcPr>
          <w:p w:rsidR="000616C5" w:rsidRPr="009B24E6" w:rsidRDefault="000616C5" w:rsidP="00417BDE">
            <w:r w:rsidRPr="009B24E6">
              <w:t>PDF</w:t>
            </w:r>
          </w:p>
        </w:tc>
      </w:tr>
      <w:tr w:rsidR="000616C5" w:rsidRPr="009B24E6" w:rsidTr="000616C5">
        <w:tc>
          <w:tcPr>
            <w:tcW w:w="602" w:type="pct"/>
            <w:vMerge/>
            <w:vAlign w:val="center"/>
          </w:tcPr>
          <w:p w:rsidR="000616C5" w:rsidRPr="009B24E6" w:rsidRDefault="000616C5" w:rsidP="00C7610A">
            <w:pPr>
              <w:rPr>
                <w:b/>
                <w:smallCaps/>
              </w:rPr>
            </w:pPr>
          </w:p>
        </w:tc>
        <w:tc>
          <w:tcPr>
            <w:tcW w:w="3866" w:type="pct"/>
            <w:gridSpan w:val="4"/>
            <w:shd w:val="clear" w:color="auto" w:fill="auto"/>
          </w:tcPr>
          <w:p w:rsidR="000616C5" w:rsidRPr="009B24E6" w:rsidRDefault="000616C5" w:rsidP="00BD3C8E">
            <w:pPr>
              <w:rPr>
                <w:b/>
              </w:rPr>
            </w:pPr>
            <w:r w:rsidRPr="009B24E6">
              <w:t xml:space="preserve">“Memorials &amp; Activities: </w:t>
            </w:r>
            <w:r>
              <w:t>A List of Do’s and Don’ts”</w:t>
            </w:r>
          </w:p>
        </w:tc>
        <w:tc>
          <w:tcPr>
            <w:tcW w:w="532" w:type="pct"/>
            <w:shd w:val="clear" w:color="auto" w:fill="auto"/>
          </w:tcPr>
          <w:p w:rsidR="000616C5" w:rsidRPr="009B24E6" w:rsidRDefault="00162ADF" w:rsidP="00BD3C8E">
            <w:r>
              <w:t>PDF</w:t>
            </w:r>
          </w:p>
        </w:tc>
      </w:tr>
      <w:tr w:rsidR="000616C5" w:rsidRPr="009B24E6" w:rsidTr="000616C5">
        <w:tc>
          <w:tcPr>
            <w:tcW w:w="602" w:type="pct"/>
            <w:vMerge/>
            <w:vAlign w:val="center"/>
          </w:tcPr>
          <w:p w:rsidR="000616C5" w:rsidRPr="009B24E6" w:rsidRDefault="000616C5" w:rsidP="00C7610A">
            <w:pPr>
              <w:rPr>
                <w:b/>
                <w:smallCaps/>
              </w:rPr>
            </w:pPr>
          </w:p>
        </w:tc>
        <w:tc>
          <w:tcPr>
            <w:tcW w:w="3866" w:type="pct"/>
            <w:gridSpan w:val="4"/>
            <w:shd w:val="clear" w:color="auto" w:fill="auto"/>
          </w:tcPr>
          <w:p w:rsidR="000616C5" w:rsidRPr="009B24E6" w:rsidRDefault="009D395F" w:rsidP="00BD3C8E">
            <w:pPr>
              <w:rPr>
                <w:rFonts w:cs="Arial"/>
                <w:bCs/>
              </w:rPr>
            </w:pPr>
            <w:r>
              <w:rPr>
                <w:rFonts w:cs="Arial"/>
                <w:bCs/>
              </w:rPr>
              <w:t>“Death Notification</w:t>
            </w:r>
            <w:r w:rsidR="00227D60">
              <w:rPr>
                <w:rFonts w:cs="Arial"/>
                <w:bCs/>
              </w:rPr>
              <w:t xml:space="preserve"> in Classrooms</w:t>
            </w:r>
            <w:r>
              <w:rPr>
                <w:rFonts w:cs="Arial"/>
                <w:bCs/>
              </w:rPr>
              <w:t>”</w:t>
            </w:r>
          </w:p>
        </w:tc>
        <w:tc>
          <w:tcPr>
            <w:tcW w:w="532" w:type="pct"/>
            <w:shd w:val="clear" w:color="auto" w:fill="auto"/>
          </w:tcPr>
          <w:p w:rsidR="000616C5" w:rsidRPr="009B24E6" w:rsidRDefault="00227D60" w:rsidP="00BD3C8E">
            <w:r w:rsidRPr="009B24E6">
              <w:t>MS Word</w:t>
            </w:r>
          </w:p>
        </w:tc>
      </w:tr>
      <w:tr w:rsidR="000616C5" w:rsidRPr="009B24E6" w:rsidTr="000616C5">
        <w:tc>
          <w:tcPr>
            <w:tcW w:w="602" w:type="pct"/>
            <w:vMerge/>
            <w:vAlign w:val="center"/>
          </w:tcPr>
          <w:p w:rsidR="000616C5" w:rsidRPr="009B24E6" w:rsidRDefault="000616C5" w:rsidP="00C7610A">
            <w:pPr>
              <w:rPr>
                <w:b/>
                <w:smallCaps/>
              </w:rPr>
            </w:pPr>
          </w:p>
        </w:tc>
        <w:tc>
          <w:tcPr>
            <w:tcW w:w="3866" w:type="pct"/>
            <w:gridSpan w:val="4"/>
            <w:shd w:val="clear" w:color="auto" w:fill="auto"/>
          </w:tcPr>
          <w:p w:rsidR="005F64AA" w:rsidRPr="009B24E6" w:rsidRDefault="005F64AA" w:rsidP="00207549">
            <w:r>
              <w:t>“Helping Kids Cope with Loss, Death &amp; Grief</w:t>
            </w:r>
            <w:proofErr w:type="gramStart"/>
            <w:r>
              <w:t>”</w:t>
            </w:r>
            <w:r w:rsidR="00207549">
              <w:t xml:space="preserve">  (</w:t>
            </w:r>
            <w:proofErr w:type="gramEnd"/>
            <w:r>
              <w:t>The introduction of this document references the war in Iraq, but</w:t>
            </w:r>
            <w:r w:rsidR="00207549">
              <w:t xml:space="preserve"> the content is appropriate</w:t>
            </w:r>
            <w:r>
              <w:t>.</w:t>
            </w:r>
            <w:r w:rsidR="00207549">
              <w:t>)</w:t>
            </w:r>
          </w:p>
        </w:tc>
        <w:tc>
          <w:tcPr>
            <w:tcW w:w="532" w:type="pct"/>
            <w:shd w:val="clear" w:color="auto" w:fill="auto"/>
          </w:tcPr>
          <w:p w:rsidR="000616C5" w:rsidRPr="009B24E6" w:rsidRDefault="000616C5" w:rsidP="00BD3C8E">
            <w:r w:rsidRPr="009B24E6">
              <w:t>PDF</w:t>
            </w:r>
          </w:p>
        </w:tc>
      </w:tr>
      <w:tr w:rsidR="000616C5" w:rsidRPr="009B24E6" w:rsidTr="000616C5">
        <w:tc>
          <w:tcPr>
            <w:tcW w:w="602" w:type="pct"/>
            <w:vMerge w:val="restart"/>
            <w:vAlign w:val="center"/>
          </w:tcPr>
          <w:p w:rsidR="000616C5" w:rsidRPr="009B24E6" w:rsidRDefault="000616C5" w:rsidP="00C7610A">
            <w:pPr>
              <w:rPr>
                <w:b/>
                <w:smallCaps/>
              </w:rPr>
            </w:pPr>
            <w:r w:rsidRPr="009B24E6">
              <w:rPr>
                <w:b/>
                <w:smallCaps/>
              </w:rPr>
              <w:t>Parents</w:t>
            </w:r>
            <w:r>
              <w:rPr>
                <w:b/>
                <w:smallCaps/>
              </w:rPr>
              <w:t xml:space="preserve"> &amp; Staff</w:t>
            </w:r>
          </w:p>
        </w:tc>
        <w:tc>
          <w:tcPr>
            <w:tcW w:w="3866" w:type="pct"/>
            <w:gridSpan w:val="4"/>
            <w:shd w:val="clear" w:color="auto" w:fill="auto"/>
          </w:tcPr>
          <w:p w:rsidR="000616C5" w:rsidRPr="009B24E6" w:rsidRDefault="000616C5" w:rsidP="00417BDE">
            <w:pPr>
              <w:rPr>
                <w:color w:val="000000"/>
              </w:rPr>
            </w:pPr>
            <w:r w:rsidRPr="009B24E6">
              <w:rPr>
                <w:rFonts w:cs="Tahoma"/>
                <w:color w:val="000000"/>
              </w:rPr>
              <w:t>“</w:t>
            </w:r>
            <w:r w:rsidRPr="009B24E6">
              <w:rPr>
                <w:color w:val="000000"/>
              </w:rPr>
              <w:t>Preparing Your Child to Attend</w:t>
            </w:r>
            <w:r>
              <w:rPr>
                <w:color w:val="000000"/>
              </w:rPr>
              <w:t xml:space="preserve"> the Funeral of a Friend”</w:t>
            </w:r>
          </w:p>
        </w:tc>
        <w:tc>
          <w:tcPr>
            <w:tcW w:w="532" w:type="pct"/>
            <w:shd w:val="clear" w:color="auto" w:fill="auto"/>
          </w:tcPr>
          <w:p w:rsidR="000616C5" w:rsidRPr="009B24E6" w:rsidRDefault="000616C5" w:rsidP="00BD3C8E">
            <w:r w:rsidRPr="009B24E6">
              <w:t>PDF</w:t>
            </w:r>
          </w:p>
        </w:tc>
      </w:tr>
      <w:tr w:rsidR="000616C5" w:rsidRPr="009B24E6" w:rsidTr="000616C5">
        <w:tc>
          <w:tcPr>
            <w:tcW w:w="602" w:type="pct"/>
            <w:vMerge/>
            <w:vAlign w:val="center"/>
          </w:tcPr>
          <w:p w:rsidR="000616C5" w:rsidRPr="009B24E6" w:rsidRDefault="000616C5" w:rsidP="00C7610A">
            <w:pPr>
              <w:rPr>
                <w:b/>
                <w:smallCaps/>
              </w:rPr>
            </w:pPr>
          </w:p>
        </w:tc>
        <w:tc>
          <w:tcPr>
            <w:tcW w:w="3866" w:type="pct"/>
            <w:gridSpan w:val="4"/>
            <w:shd w:val="clear" w:color="auto" w:fill="auto"/>
          </w:tcPr>
          <w:p w:rsidR="000616C5" w:rsidRPr="009B24E6" w:rsidRDefault="005F64AA" w:rsidP="00417BDE">
            <w:pPr>
              <w:rPr>
                <w:rFonts w:cs="Tahoma"/>
                <w:color w:val="000000"/>
              </w:rPr>
            </w:pPr>
            <w:r>
              <w:rPr>
                <w:rFonts w:cs="Tahoma"/>
                <w:color w:val="000000"/>
              </w:rPr>
              <w:t>“Grieving after the Death of a Loved One</w:t>
            </w:r>
          </w:p>
        </w:tc>
        <w:tc>
          <w:tcPr>
            <w:tcW w:w="532" w:type="pct"/>
            <w:shd w:val="clear" w:color="auto" w:fill="auto"/>
          </w:tcPr>
          <w:p w:rsidR="000616C5" w:rsidRPr="009B24E6" w:rsidRDefault="000616C5" w:rsidP="00BD3C8E">
            <w:r w:rsidRPr="009B24E6">
              <w:t>PDF</w:t>
            </w:r>
          </w:p>
        </w:tc>
      </w:tr>
      <w:tr w:rsidR="000616C5" w:rsidRPr="009B24E6" w:rsidTr="000616C5">
        <w:tc>
          <w:tcPr>
            <w:tcW w:w="602" w:type="pct"/>
            <w:vMerge/>
            <w:vAlign w:val="center"/>
          </w:tcPr>
          <w:p w:rsidR="000616C5" w:rsidRPr="009B24E6" w:rsidRDefault="000616C5" w:rsidP="00C7610A">
            <w:pPr>
              <w:rPr>
                <w:b/>
                <w:smallCaps/>
              </w:rPr>
            </w:pPr>
          </w:p>
        </w:tc>
        <w:tc>
          <w:tcPr>
            <w:tcW w:w="3866" w:type="pct"/>
            <w:gridSpan w:val="4"/>
            <w:shd w:val="clear" w:color="auto" w:fill="auto"/>
          </w:tcPr>
          <w:p w:rsidR="000616C5" w:rsidRPr="009B24E6" w:rsidRDefault="000616C5" w:rsidP="009D0BA4">
            <w:pPr>
              <w:rPr>
                <w:rFonts w:cs="Tahoma"/>
                <w:color w:val="000000"/>
              </w:rPr>
            </w:pPr>
            <w:r>
              <w:rPr>
                <w:rFonts w:cs="Tahoma"/>
                <w:color w:val="000000"/>
              </w:rPr>
              <w:t>“Grief in the Wake of a Violent Death”</w:t>
            </w:r>
          </w:p>
        </w:tc>
        <w:tc>
          <w:tcPr>
            <w:tcW w:w="532" w:type="pct"/>
            <w:shd w:val="clear" w:color="auto" w:fill="auto"/>
          </w:tcPr>
          <w:p w:rsidR="000616C5" w:rsidRPr="009B24E6" w:rsidRDefault="000616C5" w:rsidP="00BD3C8E">
            <w:r w:rsidRPr="009B24E6">
              <w:t>PDF</w:t>
            </w:r>
          </w:p>
        </w:tc>
      </w:tr>
      <w:tr w:rsidR="000616C5" w:rsidRPr="009B24E6" w:rsidTr="000616C5">
        <w:tc>
          <w:tcPr>
            <w:tcW w:w="602" w:type="pct"/>
            <w:vMerge/>
            <w:vAlign w:val="center"/>
          </w:tcPr>
          <w:p w:rsidR="000616C5" w:rsidRPr="009B24E6" w:rsidRDefault="000616C5" w:rsidP="00C7610A">
            <w:pPr>
              <w:rPr>
                <w:b/>
                <w:smallCaps/>
              </w:rPr>
            </w:pPr>
          </w:p>
        </w:tc>
        <w:tc>
          <w:tcPr>
            <w:tcW w:w="3866" w:type="pct"/>
            <w:gridSpan w:val="4"/>
            <w:shd w:val="clear" w:color="auto" w:fill="auto"/>
          </w:tcPr>
          <w:p w:rsidR="000616C5" w:rsidRDefault="007B666D" w:rsidP="009D0BA4">
            <w:pPr>
              <w:rPr>
                <w:rFonts w:cs="Tahoma"/>
                <w:color w:val="000000"/>
              </w:rPr>
            </w:pPr>
            <w:r>
              <w:rPr>
                <w:rFonts w:cs="Tahoma"/>
                <w:color w:val="000000"/>
              </w:rPr>
              <w:t>“Coping with Grief</w:t>
            </w:r>
            <w:r w:rsidR="000616C5">
              <w:rPr>
                <w:rFonts w:cs="Tahoma"/>
                <w:color w:val="000000"/>
              </w:rPr>
              <w:t xml:space="preserve"> After a Sudden Death”</w:t>
            </w:r>
          </w:p>
        </w:tc>
        <w:tc>
          <w:tcPr>
            <w:tcW w:w="532" w:type="pct"/>
            <w:shd w:val="clear" w:color="auto" w:fill="auto"/>
          </w:tcPr>
          <w:p w:rsidR="000616C5" w:rsidRPr="009B24E6" w:rsidRDefault="000616C5" w:rsidP="00BD3C8E">
            <w:r>
              <w:t>PDF</w:t>
            </w:r>
          </w:p>
        </w:tc>
      </w:tr>
      <w:tr w:rsidR="000616C5" w:rsidRPr="009B24E6" w:rsidTr="000616C5">
        <w:tc>
          <w:tcPr>
            <w:tcW w:w="602" w:type="pct"/>
            <w:vMerge w:val="restart"/>
            <w:vAlign w:val="center"/>
          </w:tcPr>
          <w:p w:rsidR="000616C5" w:rsidRPr="009B24E6" w:rsidRDefault="005F64AA" w:rsidP="00C7610A">
            <w:pPr>
              <w:rPr>
                <w:b/>
                <w:smallCaps/>
              </w:rPr>
            </w:pPr>
            <w:r>
              <w:rPr>
                <w:b/>
                <w:smallCaps/>
              </w:rPr>
              <w:t>STAFF</w:t>
            </w:r>
          </w:p>
        </w:tc>
        <w:tc>
          <w:tcPr>
            <w:tcW w:w="3866" w:type="pct"/>
            <w:gridSpan w:val="4"/>
            <w:shd w:val="clear" w:color="auto" w:fill="auto"/>
          </w:tcPr>
          <w:p w:rsidR="000616C5" w:rsidRPr="009B24E6" w:rsidRDefault="000616C5" w:rsidP="009D0BA4">
            <w:r w:rsidRPr="009B24E6">
              <w:t xml:space="preserve">Example Staff Meeting Agenda – </w:t>
            </w:r>
            <w:r>
              <w:t>Murder</w:t>
            </w:r>
          </w:p>
        </w:tc>
        <w:tc>
          <w:tcPr>
            <w:tcW w:w="532" w:type="pct"/>
            <w:shd w:val="clear" w:color="auto" w:fill="auto"/>
          </w:tcPr>
          <w:p w:rsidR="000616C5" w:rsidRPr="009B24E6" w:rsidRDefault="009D395F" w:rsidP="00BD3C8E">
            <w:r w:rsidRPr="009B24E6">
              <w:t>MS Word</w:t>
            </w:r>
          </w:p>
        </w:tc>
      </w:tr>
      <w:tr w:rsidR="000616C5" w:rsidRPr="009B24E6" w:rsidTr="000616C5">
        <w:tc>
          <w:tcPr>
            <w:tcW w:w="602" w:type="pct"/>
            <w:vMerge/>
            <w:vAlign w:val="center"/>
          </w:tcPr>
          <w:p w:rsidR="000616C5" w:rsidRPr="009B24E6" w:rsidRDefault="000616C5" w:rsidP="00C7610A">
            <w:pPr>
              <w:rPr>
                <w:b/>
                <w:smallCaps/>
              </w:rPr>
            </w:pPr>
          </w:p>
        </w:tc>
        <w:tc>
          <w:tcPr>
            <w:tcW w:w="3866" w:type="pct"/>
            <w:gridSpan w:val="4"/>
            <w:shd w:val="clear" w:color="auto" w:fill="auto"/>
          </w:tcPr>
          <w:p w:rsidR="009D395F" w:rsidRPr="009B24E6" w:rsidRDefault="009D395F" w:rsidP="006E4E34">
            <w:r>
              <w:t>Example Staff Handout – Murder</w:t>
            </w:r>
          </w:p>
        </w:tc>
        <w:tc>
          <w:tcPr>
            <w:tcW w:w="532" w:type="pct"/>
            <w:shd w:val="clear" w:color="auto" w:fill="auto"/>
          </w:tcPr>
          <w:p w:rsidR="000616C5" w:rsidRPr="009B24E6" w:rsidRDefault="009D395F" w:rsidP="00BD3C8E">
            <w:r w:rsidRPr="009B24E6">
              <w:t>MS Word</w:t>
            </w:r>
          </w:p>
        </w:tc>
      </w:tr>
      <w:tr w:rsidR="000616C5" w:rsidRPr="009B24E6" w:rsidTr="00C7610A">
        <w:tc>
          <w:tcPr>
            <w:tcW w:w="5000" w:type="pct"/>
            <w:gridSpan w:val="6"/>
            <w:shd w:val="pct10" w:color="auto" w:fill="auto"/>
          </w:tcPr>
          <w:p w:rsidR="000616C5" w:rsidRPr="007B6EF4" w:rsidRDefault="000616C5" w:rsidP="000448E8">
            <w:pPr>
              <w:jc w:val="center"/>
              <w:rPr>
                <w:b/>
                <w:smallCaps/>
                <w:sz w:val="28"/>
              </w:rPr>
            </w:pPr>
            <w:r>
              <w:rPr>
                <w:b/>
                <w:smallCaps/>
                <w:sz w:val="28"/>
              </w:rPr>
              <w:t>Crisis</w:t>
            </w:r>
            <w:r w:rsidRPr="007B6EF4">
              <w:rPr>
                <w:b/>
                <w:smallCaps/>
                <w:sz w:val="28"/>
              </w:rPr>
              <w:t xml:space="preserve"> Support Contacts at SDCOE</w:t>
            </w:r>
          </w:p>
        </w:tc>
      </w:tr>
      <w:tr w:rsidR="000616C5" w:rsidRPr="009B24E6" w:rsidTr="000616C5">
        <w:tc>
          <w:tcPr>
            <w:tcW w:w="1246" w:type="pct"/>
            <w:gridSpan w:val="2"/>
          </w:tcPr>
          <w:p w:rsidR="000616C5" w:rsidRPr="00375DB2" w:rsidRDefault="000616C5" w:rsidP="000448E8">
            <w:pPr>
              <w:jc w:val="center"/>
              <w:rPr>
                <w:u w:val="single"/>
              </w:rPr>
            </w:pPr>
            <w:r w:rsidRPr="00375DB2">
              <w:rPr>
                <w:u w:val="single"/>
              </w:rPr>
              <w:t>Don Buchheit</w:t>
            </w:r>
          </w:p>
          <w:p w:rsidR="000616C5" w:rsidRPr="00375DB2" w:rsidRDefault="000616C5" w:rsidP="000448E8">
            <w:pPr>
              <w:jc w:val="center"/>
            </w:pPr>
            <w:r w:rsidRPr="00375DB2">
              <w:t>Senior Director</w:t>
            </w:r>
          </w:p>
          <w:p w:rsidR="000616C5" w:rsidRPr="00375DB2" w:rsidRDefault="000616C5" w:rsidP="000616C5">
            <w:pPr>
              <w:jc w:val="center"/>
            </w:pPr>
            <w:r w:rsidRPr="00375DB2">
              <w:t>Student Support Services</w:t>
            </w:r>
          </w:p>
          <w:p w:rsidR="000616C5" w:rsidRPr="00375DB2" w:rsidRDefault="000616C5" w:rsidP="002B7C8C">
            <w:pPr>
              <w:jc w:val="center"/>
            </w:pPr>
            <w:r w:rsidRPr="00375DB2">
              <w:t>Office: (858) 292-3819</w:t>
            </w:r>
          </w:p>
          <w:p w:rsidR="000616C5" w:rsidRPr="00375DB2" w:rsidRDefault="000616C5" w:rsidP="002B7C8C">
            <w:pPr>
              <w:jc w:val="center"/>
            </w:pPr>
            <w:r w:rsidRPr="00375DB2">
              <w:t>Cell: (619) 770-9611</w:t>
            </w:r>
          </w:p>
        </w:tc>
        <w:tc>
          <w:tcPr>
            <w:tcW w:w="1525" w:type="pct"/>
          </w:tcPr>
          <w:p w:rsidR="000616C5" w:rsidRPr="00375DB2" w:rsidRDefault="000616C5" w:rsidP="000448E8">
            <w:pPr>
              <w:jc w:val="center"/>
              <w:rPr>
                <w:u w:val="single"/>
              </w:rPr>
            </w:pPr>
            <w:r w:rsidRPr="00375DB2">
              <w:rPr>
                <w:u w:val="single"/>
              </w:rPr>
              <w:t>Bob Mueller</w:t>
            </w:r>
          </w:p>
          <w:p w:rsidR="000616C5" w:rsidRPr="00375DB2" w:rsidRDefault="000616C5" w:rsidP="000448E8">
            <w:pPr>
              <w:jc w:val="center"/>
            </w:pPr>
            <w:r w:rsidRPr="00375DB2">
              <w:t>Director</w:t>
            </w:r>
          </w:p>
          <w:p w:rsidR="000616C5" w:rsidRPr="00375DB2" w:rsidRDefault="000616C5" w:rsidP="000448E8">
            <w:pPr>
              <w:jc w:val="center"/>
            </w:pPr>
            <w:r w:rsidRPr="00375DB2">
              <w:t>Attendance, Safety &amp; Wellbeing</w:t>
            </w:r>
          </w:p>
          <w:p w:rsidR="000616C5" w:rsidRPr="00375DB2" w:rsidRDefault="000616C5" w:rsidP="000448E8">
            <w:pPr>
              <w:jc w:val="center"/>
            </w:pPr>
            <w:r w:rsidRPr="00375DB2">
              <w:t>Office: (858) 292-3786</w:t>
            </w:r>
          </w:p>
          <w:p w:rsidR="000616C5" w:rsidRPr="00375DB2" w:rsidRDefault="000616C5" w:rsidP="000448E8">
            <w:pPr>
              <w:jc w:val="center"/>
            </w:pPr>
            <w:proofErr w:type="spellStart"/>
            <w:r w:rsidRPr="00375DB2">
              <w:t>Cell</w:t>
            </w:r>
            <w:proofErr w:type="spellEnd"/>
            <w:r w:rsidRPr="00375DB2">
              <w:t>: (760) 458-3729</w:t>
            </w:r>
          </w:p>
        </w:tc>
        <w:tc>
          <w:tcPr>
            <w:tcW w:w="975" w:type="pct"/>
          </w:tcPr>
          <w:p w:rsidR="00375DB2" w:rsidRPr="00375DB2" w:rsidRDefault="00375DB2" w:rsidP="00375DB2">
            <w:pPr>
              <w:jc w:val="center"/>
              <w:rPr>
                <w:u w:val="single"/>
              </w:rPr>
            </w:pPr>
            <w:r w:rsidRPr="00375DB2">
              <w:rPr>
                <w:u w:val="single"/>
              </w:rPr>
              <w:t>Music Watson</w:t>
            </w:r>
          </w:p>
          <w:p w:rsidR="00375DB2" w:rsidRPr="00375DB2" w:rsidRDefault="00375DB2" w:rsidP="00375DB2">
            <w:pPr>
              <w:jc w:val="center"/>
            </w:pPr>
            <w:r w:rsidRPr="00375DB2">
              <w:t>Public Information Officer</w:t>
            </w:r>
          </w:p>
          <w:p w:rsidR="00375DB2" w:rsidRPr="00375DB2" w:rsidRDefault="00375DB2" w:rsidP="00375DB2">
            <w:pPr>
              <w:jc w:val="center"/>
            </w:pPr>
            <w:r w:rsidRPr="00375DB2">
              <w:rPr>
                <w:rFonts w:cs="Arial"/>
              </w:rPr>
              <w:t>(858) 292-3719</w:t>
            </w:r>
          </w:p>
        </w:tc>
        <w:tc>
          <w:tcPr>
            <w:tcW w:w="1254" w:type="pct"/>
            <w:gridSpan w:val="2"/>
          </w:tcPr>
          <w:p w:rsidR="00375DB2" w:rsidRPr="00375DB2" w:rsidRDefault="00375DB2" w:rsidP="00375DB2">
            <w:pPr>
              <w:jc w:val="center"/>
              <w:rPr>
                <w:u w:val="single"/>
              </w:rPr>
            </w:pPr>
            <w:r w:rsidRPr="00375DB2">
              <w:rPr>
                <w:u w:val="single"/>
              </w:rPr>
              <w:t>Tim Glover</w:t>
            </w:r>
          </w:p>
          <w:p w:rsidR="00375DB2" w:rsidRPr="00375DB2" w:rsidRDefault="00375DB2" w:rsidP="00375DB2">
            <w:pPr>
              <w:jc w:val="center"/>
            </w:pPr>
            <w:r w:rsidRPr="00375DB2">
              <w:t>Assistant Superintendent</w:t>
            </w:r>
          </w:p>
          <w:p w:rsidR="00375DB2" w:rsidRPr="00375DB2" w:rsidRDefault="00375DB2" w:rsidP="00375DB2">
            <w:pPr>
              <w:jc w:val="center"/>
            </w:pPr>
            <w:r w:rsidRPr="00375DB2">
              <w:t>Student Services Division</w:t>
            </w:r>
          </w:p>
          <w:p w:rsidR="000616C5" w:rsidRPr="00375DB2" w:rsidRDefault="00375DB2" w:rsidP="00375DB2">
            <w:pPr>
              <w:jc w:val="center"/>
            </w:pPr>
            <w:r w:rsidRPr="00375DB2">
              <w:rPr>
                <w:rFonts w:cs="Arial"/>
              </w:rPr>
              <w:t>(858) 292-3637</w:t>
            </w:r>
          </w:p>
        </w:tc>
      </w:tr>
    </w:tbl>
    <w:p w:rsidR="000E5233" w:rsidRDefault="000E5233" w:rsidP="000616C5"/>
    <w:sectPr w:rsidR="000E5233" w:rsidSect="00932495">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LT-Light--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68D"/>
    <w:multiLevelType w:val="hybridMultilevel"/>
    <w:tmpl w:val="03E01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EB0E41"/>
    <w:multiLevelType w:val="hybridMultilevel"/>
    <w:tmpl w:val="0876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63B35"/>
    <w:multiLevelType w:val="hybridMultilevel"/>
    <w:tmpl w:val="2F48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062E69"/>
    <w:multiLevelType w:val="hybridMultilevel"/>
    <w:tmpl w:val="64D4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6D4A1E"/>
    <w:multiLevelType w:val="hybridMultilevel"/>
    <w:tmpl w:val="4EA216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A14CF8"/>
    <w:multiLevelType w:val="hybridMultilevel"/>
    <w:tmpl w:val="8208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2873EE"/>
    <w:multiLevelType w:val="hybridMultilevel"/>
    <w:tmpl w:val="A376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5F904F9"/>
    <w:multiLevelType w:val="hybridMultilevel"/>
    <w:tmpl w:val="0E6A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F0252D"/>
    <w:multiLevelType w:val="hybridMultilevel"/>
    <w:tmpl w:val="AFEED6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7"/>
  </w:num>
  <w:num w:numId="3">
    <w:abstractNumId w:val="2"/>
  </w:num>
  <w:num w:numId="4">
    <w:abstractNumId w:val="1"/>
  </w:num>
  <w:num w:numId="5">
    <w:abstractNumId w:val="5"/>
  </w:num>
  <w:num w:numId="6">
    <w:abstractNumId w:val="6"/>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E8"/>
    <w:rsid w:val="000448E8"/>
    <w:rsid w:val="000616C5"/>
    <w:rsid w:val="00096798"/>
    <w:rsid w:val="000D0863"/>
    <w:rsid w:val="000E5233"/>
    <w:rsid w:val="001111E3"/>
    <w:rsid w:val="00112850"/>
    <w:rsid w:val="00162ADF"/>
    <w:rsid w:val="00207549"/>
    <w:rsid w:val="00227D60"/>
    <w:rsid w:val="002379C3"/>
    <w:rsid w:val="002B7C8C"/>
    <w:rsid w:val="00301A2B"/>
    <w:rsid w:val="00375DB2"/>
    <w:rsid w:val="004A4EE6"/>
    <w:rsid w:val="004D27B4"/>
    <w:rsid w:val="00523969"/>
    <w:rsid w:val="005540B1"/>
    <w:rsid w:val="005F64AA"/>
    <w:rsid w:val="00652D10"/>
    <w:rsid w:val="006655A3"/>
    <w:rsid w:val="006E4E34"/>
    <w:rsid w:val="00714A5E"/>
    <w:rsid w:val="00783FE6"/>
    <w:rsid w:val="007B666D"/>
    <w:rsid w:val="007B6EF4"/>
    <w:rsid w:val="008313AF"/>
    <w:rsid w:val="008451E8"/>
    <w:rsid w:val="00853F29"/>
    <w:rsid w:val="0086097F"/>
    <w:rsid w:val="00894CFB"/>
    <w:rsid w:val="00932495"/>
    <w:rsid w:val="00960EFF"/>
    <w:rsid w:val="00981CA1"/>
    <w:rsid w:val="009B24E6"/>
    <w:rsid w:val="009D0BA4"/>
    <w:rsid w:val="009D395F"/>
    <w:rsid w:val="00A81D5F"/>
    <w:rsid w:val="00B70258"/>
    <w:rsid w:val="00BE0AC0"/>
    <w:rsid w:val="00BE229A"/>
    <w:rsid w:val="00C04768"/>
    <w:rsid w:val="00C24EF4"/>
    <w:rsid w:val="00C7610A"/>
    <w:rsid w:val="00C81CB9"/>
    <w:rsid w:val="00CA0EE7"/>
    <w:rsid w:val="00CD7157"/>
    <w:rsid w:val="00D73D05"/>
    <w:rsid w:val="00D96378"/>
    <w:rsid w:val="00DD57BF"/>
    <w:rsid w:val="00EB7259"/>
    <w:rsid w:val="00F32E5D"/>
    <w:rsid w:val="00F56D01"/>
    <w:rsid w:val="00FD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4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3FE6"/>
    <w:pPr>
      <w:ind w:left="720"/>
      <w:contextualSpacing/>
    </w:pPr>
  </w:style>
  <w:style w:type="character" w:styleId="Hyperlink">
    <w:name w:val="Hyperlink"/>
    <w:basedOn w:val="DefaultParagraphFont"/>
    <w:uiPriority w:val="99"/>
    <w:unhideWhenUsed/>
    <w:rsid w:val="000E5233"/>
    <w:rPr>
      <w:color w:val="0000FF" w:themeColor="hyperlink"/>
      <w:u w:val="single"/>
    </w:rPr>
  </w:style>
  <w:style w:type="paragraph" w:customStyle="1" w:styleId="Default">
    <w:name w:val="Default"/>
    <w:rsid w:val="00853F29"/>
    <w:pPr>
      <w:autoSpaceDE w:val="0"/>
      <w:autoSpaceDN w:val="0"/>
      <w:adjustRightInd w:val="0"/>
      <w:spacing w:after="0" w:line="240" w:lineRule="auto"/>
    </w:pPr>
    <w:rPr>
      <w:rFonts w:ascii="Tahoma" w:hAnsi="Tahoma" w:cs="Tahoma"/>
      <w:color w:val="000000"/>
      <w:sz w:val="24"/>
      <w:szCs w:val="24"/>
    </w:rPr>
  </w:style>
  <w:style w:type="character" w:styleId="FollowedHyperlink">
    <w:name w:val="FollowedHyperlink"/>
    <w:basedOn w:val="DefaultParagraphFont"/>
    <w:uiPriority w:val="99"/>
    <w:semiHidden/>
    <w:unhideWhenUsed/>
    <w:rsid w:val="00301A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4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3FE6"/>
    <w:pPr>
      <w:ind w:left="720"/>
      <w:contextualSpacing/>
    </w:pPr>
  </w:style>
  <w:style w:type="character" w:styleId="Hyperlink">
    <w:name w:val="Hyperlink"/>
    <w:basedOn w:val="DefaultParagraphFont"/>
    <w:uiPriority w:val="99"/>
    <w:unhideWhenUsed/>
    <w:rsid w:val="000E5233"/>
    <w:rPr>
      <w:color w:val="0000FF" w:themeColor="hyperlink"/>
      <w:u w:val="single"/>
    </w:rPr>
  </w:style>
  <w:style w:type="paragraph" w:customStyle="1" w:styleId="Default">
    <w:name w:val="Default"/>
    <w:rsid w:val="00853F29"/>
    <w:pPr>
      <w:autoSpaceDE w:val="0"/>
      <w:autoSpaceDN w:val="0"/>
      <w:adjustRightInd w:val="0"/>
      <w:spacing w:after="0" w:line="240" w:lineRule="auto"/>
    </w:pPr>
    <w:rPr>
      <w:rFonts w:ascii="Tahoma" w:hAnsi="Tahoma" w:cs="Tahoma"/>
      <w:color w:val="000000"/>
      <w:sz w:val="24"/>
      <w:szCs w:val="24"/>
    </w:rPr>
  </w:style>
  <w:style w:type="character" w:styleId="FollowedHyperlink">
    <w:name w:val="FollowedHyperlink"/>
    <w:basedOn w:val="DefaultParagraphFont"/>
    <w:uiPriority w:val="99"/>
    <w:semiHidden/>
    <w:unhideWhenUsed/>
    <w:rsid w:val="00301A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EF5B573C35AA44A25D2F2B5E08BEB5" ma:contentTypeVersion="1" ma:contentTypeDescription="Create a new document." ma:contentTypeScope="" ma:versionID="2f45354198e661b81a787cb9c7317b6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29B8C3-DA24-422B-ACED-0694989EEEC6}"/>
</file>

<file path=customXml/itemProps2.xml><?xml version="1.0" encoding="utf-8"?>
<ds:datastoreItem xmlns:ds="http://schemas.openxmlformats.org/officeDocument/2006/customXml" ds:itemID="{E13D0C66-DEB8-493E-91DA-DDD70820C24E}"/>
</file>

<file path=customXml/itemProps3.xml><?xml version="1.0" encoding="utf-8"?>
<ds:datastoreItem xmlns:ds="http://schemas.openxmlformats.org/officeDocument/2006/customXml" ds:itemID="{942660AC-AFFA-4F5D-A82C-CCA99859F597}"/>
</file>

<file path=docProps/app.xml><?xml version="1.0" encoding="utf-8"?>
<Properties xmlns="http://schemas.openxmlformats.org/officeDocument/2006/extended-properties" xmlns:vt="http://schemas.openxmlformats.org/officeDocument/2006/docPropsVTypes">
  <Template>Normal</Template>
  <TotalTime>1474</TotalTime>
  <Pages>1</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Mueller</dc:creator>
  <cp:lastModifiedBy>Bob Mueller</cp:lastModifiedBy>
  <cp:revision>18</cp:revision>
  <dcterms:created xsi:type="dcterms:W3CDTF">2013-01-18T23:01:00Z</dcterms:created>
  <dcterms:modified xsi:type="dcterms:W3CDTF">2013-03-08T23:07:00Z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0x01010053EF5B573C35AA44A25D2F2B5E08BEB5</vt:lpwstr>
  </property>
</Properties>
</file>