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CC721D" w:rsidRPr="00604900" w:rsidRDefault="00CC721D" w:rsidP="00CC721D">
            <w:pPr>
              <w:rPr>
                <w:sz w:val="22"/>
                <w:szCs w:val="22"/>
              </w:rPr>
            </w:pPr>
            <w:r w:rsidRPr="00604900">
              <w:rPr>
                <w:sz w:val="22"/>
                <w:szCs w:val="22"/>
              </w:rPr>
              <w:t>Lowe</w:t>
            </w:r>
            <w:r w:rsidR="00CD2F7F">
              <w:rPr>
                <w:sz w:val="22"/>
                <w:szCs w:val="22"/>
              </w:rPr>
              <w:t xml:space="preserve"> </w:t>
            </w:r>
            <w:r w:rsidRPr="00604900">
              <w:rPr>
                <w:sz w:val="22"/>
                <w:szCs w:val="22"/>
              </w:rPr>
              <w:t>Syndrome (LS) is a rare hereditary genetic condition that causes physical and mental handicaps, and medical problems that almost always affects only boys. Because of the three major organ systems involved (eyes, brain, and kidney), it is also known as OCRL (oculo-cere</w:t>
            </w:r>
            <w:bookmarkStart w:id="0" w:name="_GoBack"/>
            <w:bookmarkEnd w:id="0"/>
            <w:r w:rsidRPr="00604900">
              <w:rPr>
                <w:sz w:val="22"/>
                <w:szCs w:val="22"/>
              </w:rPr>
              <w:t>bro-renal) syndrome.  It was first described in 1951 by Dr. Charles Lowe and colleagues. Boys with Lowe Syndrome are born with cataracts in both eyes, which are usually removed at a few months of age. Most boys are fitted with glasses, contacts, or a combination of the two. Glaucoma is present in about 50% of the boys with Lowe syndrome, though usually not at birth. Prescription eye drop and/or surgery is required to maintain appropriate eye pressure in these cases.</w:t>
            </w:r>
          </w:p>
          <w:p w:rsidR="00A87746" w:rsidRPr="00135579" w:rsidRDefault="00CC721D" w:rsidP="00CC721D">
            <w:pPr>
              <w:rPr>
                <w:sz w:val="22"/>
                <w:szCs w:val="22"/>
              </w:rPr>
            </w:pPr>
            <w:r w:rsidRPr="00604900">
              <w:rPr>
                <w:sz w:val="22"/>
                <w:szCs w:val="22"/>
              </w:rPr>
              <w:t>While not present at birth, many Lowe Syndrome boys develop kidney problems at approximately one year of age. This is characterized by the abnormal loss of certain substances into the urine, including bicarbonate, sodium, potassium, amino acids, organic acids, albumin and other small proteins, calcium, phosphate, glucose, and L-carnitine. This problem is known as Fanconi-type renal tubular dysfunction and can also be seen in certain other diseases and syndromes. In Lowe syndrome, the Fanconi syndrome may be mild and involve only a few substances or may be severe and involve large losses of many substances. Medications can be prescribed to replace the lost substances. Behavioral problems prevail.</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980EA0" w:rsidRPr="00135579" w:rsidRDefault="00CC721D" w:rsidP="00107F77">
            <w:pPr>
              <w:rPr>
                <w:sz w:val="22"/>
                <w:szCs w:val="22"/>
              </w:rPr>
            </w:pPr>
            <w:r w:rsidRPr="00604900">
              <w:rPr>
                <w:sz w:val="22"/>
                <w:szCs w:val="22"/>
              </w:rPr>
              <w:t xml:space="preserve">The longest reported survival is that of a 54 year-old patient. In the very first years of life, death may occur </w:t>
            </w:r>
            <w:proofErr w:type="gramStart"/>
            <w:r w:rsidRPr="00604900">
              <w:rPr>
                <w:sz w:val="22"/>
                <w:szCs w:val="22"/>
              </w:rPr>
              <w:t>as a consequence of</w:t>
            </w:r>
            <w:proofErr w:type="gramEnd"/>
            <w:r w:rsidRPr="00604900">
              <w:rPr>
                <w:sz w:val="22"/>
                <w:szCs w:val="22"/>
              </w:rPr>
              <w:t xml:space="preserve"> the renal disease or hypotonia, or increased susceptibility to infectious disease (respiratory or gastroenteric complications). The most frequent causes of death are: respiratory illness, epileptic seizures and sudden death, often while sleeping. Death usually occurs between the end of the second decade and the beginning of the fourth decade of life. The most remote cause of death is the renal tubulopathy, progressively evolving into renal insufficiency.</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A87746" w:rsidRPr="00135579" w:rsidRDefault="00A87746" w:rsidP="00107F77">
            <w:pPr>
              <w:rPr>
                <w:sz w:val="22"/>
                <w:szCs w:val="22"/>
              </w:rPr>
            </w:pPr>
          </w:p>
        </w:tc>
      </w:tr>
      <w:tr w:rsidR="00F83B4B" w:rsidRPr="005753CE" w:rsidTr="00487382">
        <w:tc>
          <w:tcPr>
            <w:tcW w:w="10656" w:type="dxa"/>
            <w:gridSpan w:val="13"/>
            <w:tcBorders>
              <w:top w:val="single" w:sz="4" w:space="0" w:color="auto"/>
              <w:bottom w:val="single" w:sz="4" w:space="0" w:color="auto"/>
            </w:tcBorders>
            <w:vAlign w:val="bottom"/>
          </w:tcPr>
          <w:p w:rsidR="00F83B4B" w:rsidRPr="005753CE" w:rsidRDefault="00F83B4B" w:rsidP="00487382">
            <w:pPr>
              <w:rPr>
                <w:b/>
                <w:sz w:val="22"/>
                <w:szCs w:val="22"/>
              </w:rPr>
            </w:pPr>
            <w:r w:rsidRPr="005753CE">
              <w:rPr>
                <w:b/>
                <w:sz w:val="22"/>
                <w:szCs w:val="22"/>
              </w:rPr>
              <w:t>STUDENT ATTENDANCE</w:t>
            </w:r>
          </w:p>
        </w:tc>
      </w:tr>
      <w:tr w:rsidR="00F83B4B"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F83B4B" w:rsidRPr="005753CE" w:rsidRDefault="00700EA1" w:rsidP="00487382">
            <w:pPr>
              <w:rPr>
                <w:b/>
              </w:rPr>
            </w:pPr>
            <w:sdt>
              <w:sdtPr>
                <w:rPr>
                  <w:b/>
                  <w:sz w:val="22"/>
                </w:rPr>
                <w:id w:val="1269902105"/>
                <w14:checkbox>
                  <w14:checked w14:val="0"/>
                  <w14:checkedState w14:val="2612" w14:font="MS Gothic"/>
                  <w14:uncheckedState w14:val="2610" w14:font="MS Gothic"/>
                </w14:checkbox>
              </w:sdtPr>
              <w:sdtEndPr/>
              <w:sdtContent>
                <w:r w:rsidR="00F83B4B" w:rsidRPr="005753CE">
                  <w:rPr>
                    <w:rFonts w:ascii="MS Mincho" w:eastAsia="MS Mincho" w:hAnsi="MS Mincho" w:cs="MS Mincho" w:hint="eastAsia"/>
                    <w:b/>
                    <w:sz w:val="22"/>
                  </w:rPr>
                  <w:t>☐</w:t>
                </w:r>
              </w:sdtContent>
            </w:sdt>
            <w:r w:rsidR="00F83B4B" w:rsidRPr="005753CE">
              <w:t xml:space="preserve"> </w:t>
            </w:r>
            <w:r w:rsidR="00F83B4B" w:rsidRPr="005753CE">
              <w:rPr>
                <w:b/>
              </w:rPr>
              <w:t xml:space="preserve">No Concerns  </w:t>
            </w:r>
            <w:r w:rsidR="00F83B4B">
              <w:rPr>
                <w:b/>
              </w:rPr>
              <w:t xml:space="preserve">        </w:t>
            </w:r>
            <w:r w:rsidR="00F83B4B"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 xml:space="preserve">Concerning Absenteeism (5 – 9.9%) </w:t>
            </w:r>
            <w:r w:rsidR="00F83B4B">
              <w:rPr>
                <w:b/>
              </w:rPr>
              <w:t xml:space="preserve">         </w:t>
            </w:r>
            <w:r w:rsidR="00F83B4B" w:rsidRPr="005753CE">
              <w:rPr>
                <w:b/>
              </w:rPr>
              <w:tab/>
              <w:t>Chronic Absenteeism</w:t>
            </w:r>
            <w:r w:rsidR="00F83B4B">
              <w:rPr>
                <w:b/>
              </w:rPr>
              <w:t xml:space="preserve"> </w:t>
            </w:r>
            <w:r w:rsidR="00F83B4B" w:rsidRPr="005753CE">
              <w:rPr>
                <w:b/>
              </w:rPr>
              <w:t>(&gt; 10%)</w:t>
            </w:r>
          </w:p>
          <w:p w:rsidR="00F83B4B" w:rsidRDefault="00F83B4B" w:rsidP="00487382">
            <w:pPr>
              <w:rPr>
                <w:b/>
              </w:rPr>
            </w:pPr>
          </w:p>
          <w:p w:rsidR="00F83B4B" w:rsidRDefault="00F83B4B" w:rsidP="00487382">
            <w:pPr>
              <w:rPr>
                <w:b/>
              </w:rPr>
            </w:pPr>
            <w:r>
              <w:rPr>
                <w:b/>
              </w:rPr>
              <w:t>INTERVENTIONS</w:t>
            </w:r>
          </w:p>
          <w:p w:rsidR="00F83B4B" w:rsidRPr="005753CE" w:rsidRDefault="00700EA1" w:rsidP="00487382">
            <w:pPr>
              <w:rPr>
                <w:b/>
              </w:rPr>
            </w:pPr>
            <w:sdt>
              <w:sdtPr>
                <w:rPr>
                  <w:b/>
                  <w:sz w:val="22"/>
                </w:rPr>
                <w:id w:val="1118263640"/>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Parent/Guardian Contact</w:t>
            </w:r>
            <w:r w:rsidR="00F83B4B" w:rsidRPr="005753CE">
              <w:rPr>
                <w:b/>
              </w:rPr>
              <w:tab/>
            </w:r>
            <w:r w:rsidR="00F83B4B" w:rsidRPr="005753CE">
              <w:rPr>
                <w:b/>
              </w:rPr>
              <w:tab/>
            </w:r>
            <w:sdt>
              <w:sdtPr>
                <w:rPr>
                  <w:b/>
                  <w:sz w:val="22"/>
                </w:rPr>
                <w:id w:val="1696428612"/>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Attendance letter</w:t>
            </w:r>
          </w:p>
          <w:p w:rsidR="00F83B4B" w:rsidRPr="005753CE" w:rsidRDefault="00700EA1" w:rsidP="00487382">
            <w:pPr>
              <w:rPr>
                <w:b/>
              </w:rPr>
            </w:pPr>
            <w:sdt>
              <w:sdtPr>
                <w:rPr>
                  <w:b/>
                  <w:sz w:val="22"/>
                </w:rPr>
                <w:id w:val="823852269"/>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HIPAA/MD Contact</w:t>
            </w:r>
            <w:r w:rsidR="00F83B4B" w:rsidRPr="005753CE">
              <w:rPr>
                <w:b/>
              </w:rPr>
              <w:tab/>
            </w:r>
            <w:r w:rsidR="00F83B4B" w:rsidRPr="005753CE">
              <w:rPr>
                <w:b/>
              </w:rPr>
              <w:tab/>
            </w:r>
            <w:r w:rsidR="00F83B4B" w:rsidRPr="005753CE">
              <w:rPr>
                <w:b/>
              </w:rPr>
              <w:tab/>
            </w:r>
            <w:sdt>
              <w:sdtPr>
                <w:rPr>
                  <w:b/>
                  <w:sz w:val="22"/>
                </w:rPr>
                <w:id w:val="-1902435351"/>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Medical Referral</w:t>
            </w:r>
          </w:p>
          <w:p w:rsidR="00F83B4B" w:rsidRPr="005753CE" w:rsidRDefault="00700EA1" w:rsidP="00487382">
            <w:pPr>
              <w:rPr>
                <w:b/>
              </w:rPr>
            </w:pPr>
            <w:sdt>
              <w:sdtPr>
                <w:rPr>
                  <w:b/>
                  <w:sz w:val="22"/>
                </w:rPr>
                <w:id w:val="826411359"/>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Teacher(s) Collaboration</w:t>
            </w:r>
            <w:r w:rsidR="00F83B4B" w:rsidRPr="005753CE">
              <w:rPr>
                <w:b/>
              </w:rPr>
              <w:tab/>
            </w:r>
            <w:r w:rsidR="00F83B4B" w:rsidRPr="005753CE">
              <w:rPr>
                <w:b/>
              </w:rPr>
              <w:tab/>
            </w:r>
            <w:sdt>
              <w:sdtPr>
                <w:rPr>
                  <w:b/>
                  <w:sz w:val="22"/>
                </w:rPr>
                <w:id w:val="1385603643"/>
                <w14:checkbox>
                  <w14:checked w14:val="0"/>
                  <w14:checkedState w14:val="2612" w14:font="MS Gothic"/>
                  <w14:uncheckedState w14:val="2610" w14:font="MS Gothic"/>
                </w14:checkbox>
              </w:sdtPr>
              <w:sdtEndPr/>
              <w:sdtContent>
                <w:r w:rsidR="00F83B4B" w:rsidRPr="006E1409">
                  <w:rPr>
                    <w:rFonts w:ascii="Segoe UI Symbol" w:eastAsia="MS Gothic" w:hAnsi="Segoe UI Symbol" w:cs="Segoe UI Symbol"/>
                    <w:b/>
                    <w:sz w:val="22"/>
                  </w:rPr>
                  <w:t>☐</w:t>
                </w:r>
              </w:sdtContent>
            </w:sdt>
            <w:r w:rsidR="00F83B4B" w:rsidRPr="001736A9">
              <w:rPr>
                <w:rFonts w:cs="Tahoma"/>
              </w:rPr>
              <w:t xml:space="preserve"> </w:t>
            </w:r>
            <w:r w:rsidR="00F83B4B"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w:t>
            </w:r>
            <w:r w:rsidRPr="006F338F">
              <w:rPr>
                <w:sz w:val="22"/>
                <w:szCs w:val="22"/>
              </w:rPr>
              <w:lastRenderedPageBreak/>
              <w:t xml:space="preserve">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700EA1"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700EA1"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700EA1"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700EA1"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EA1" w:rsidRDefault="00700EA1">
      <w:r>
        <w:separator/>
      </w:r>
    </w:p>
  </w:endnote>
  <w:endnote w:type="continuationSeparator" w:id="0">
    <w:p w:rsidR="00700EA1" w:rsidRDefault="0070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EA1" w:rsidRDefault="00700EA1">
      <w:r>
        <w:separator/>
      </w:r>
    </w:p>
  </w:footnote>
  <w:footnote w:type="continuationSeparator" w:id="0">
    <w:p w:rsidR="00700EA1" w:rsidRDefault="00700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CD2F7F" w:rsidRDefault="00E702D6" w:rsidP="00CD2F7F">
    <w:pPr>
      <w:pStyle w:val="Header"/>
    </w:pPr>
    <w:r w:rsidRPr="00CD2F7F">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00EA1"/>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CC721D"/>
    <w:rsid w:val="00CD2F7F"/>
    <w:rsid w:val="00D049A4"/>
    <w:rsid w:val="00D07035"/>
    <w:rsid w:val="00D07E13"/>
    <w:rsid w:val="00D203B7"/>
    <w:rsid w:val="00D5048B"/>
    <w:rsid w:val="00D910CD"/>
    <w:rsid w:val="00DA5322"/>
    <w:rsid w:val="00DB73FA"/>
    <w:rsid w:val="00DF4923"/>
    <w:rsid w:val="00DF6A3C"/>
    <w:rsid w:val="00E00A99"/>
    <w:rsid w:val="00E07376"/>
    <w:rsid w:val="00E0797B"/>
    <w:rsid w:val="00E702D6"/>
    <w:rsid w:val="00E85EE5"/>
    <w:rsid w:val="00ED7C33"/>
    <w:rsid w:val="00EE66DA"/>
    <w:rsid w:val="00F02417"/>
    <w:rsid w:val="00F837EE"/>
    <w:rsid w:val="00F83B4B"/>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DFD70"/>
  <w15:docId w15:val="{2250CE47-0BCC-42BC-A920-33E2F8DB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3.xml><?xml version="1.0" encoding="utf-8"?>
<ds:datastoreItem xmlns:ds="http://schemas.openxmlformats.org/officeDocument/2006/customXml" ds:itemID="{EC8A11EF-66C7-4133-9E4F-8E0F9D345022}"/>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8BC79639-F7FF-4A6F-9CA6-9D06527C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2019-06-28T21:55:00Z</dcterms:created>
  <dcterms:modified xsi:type="dcterms:W3CDTF">2019-06-28T21:55:00Z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