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13AAE110" w:rsidR="00D34B0A" w:rsidRPr="0068634E" w:rsidRDefault="00936780" w:rsidP="21D81C0A">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9264"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a="http://schemas.openxmlformats.org/drawingml/2006/main" xmlns:cx1="http://schemas.microsoft.com/office/drawing/2015/9/8/chartex">
            <w:pict w14:anchorId="7E0E9641">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62B4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454727">
        <w:rPr>
          <w:b/>
          <w:bCs/>
          <w:color w:val="2E74B5" w:themeColor="accent1" w:themeShade="BF"/>
          <w:sz w:val="36"/>
          <w:szCs w:val="36"/>
        </w:rPr>
        <w:t>PCI-DSS</w:t>
      </w:r>
      <w:r w:rsidR="000552F4">
        <w:rPr>
          <w:b/>
          <w:bCs/>
          <w:color w:val="2E74B5" w:themeColor="accent1" w:themeShade="BF"/>
          <w:sz w:val="36"/>
          <w:szCs w:val="36"/>
        </w:rPr>
        <w:t xml:space="preserve"> </w:t>
      </w:r>
      <w:r w:rsidR="00D02E7B">
        <w:rPr>
          <w:b/>
          <w:bCs/>
          <w:color w:val="2E74B5" w:themeColor="accent1" w:themeShade="BF"/>
          <w:sz w:val="36"/>
          <w:szCs w:val="36"/>
        </w:rPr>
        <w:t>Procedure</w:t>
      </w:r>
    </w:p>
    <w:p w14:paraId="28B13AB2" w14:textId="0C3B197F" w:rsidR="00B72B1A" w:rsidRDefault="21D81C0A" w:rsidP="003334A3">
      <w:pPr>
        <w:pStyle w:val="Heading1"/>
        <w:keepNext/>
        <w:keepLines/>
        <w:numPr>
          <w:ilvl w:val="0"/>
          <w:numId w:val="18"/>
        </w:numPr>
        <w:pBdr>
          <w:bottom w:val="none" w:sz="0" w:space="0" w:color="auto"/>
        </w:pBdr>
        <w:spacing w:before="0" w:after="0"/>
        <w:textAlignment w:val="baseline"/>
      </w:pPr>
      <w:r>
        <w:t>Purpose</w:t>
      </w:r>
      <w:r w:rsidR="57E87582">
        <w:br/>
      </w:r>
      <w:r w:rsidRPr="21D81C0A">
        <w:rPr>
          <w:rStyle w:val="normaltextrun"/>
          <w:rFonts w:ascii="Calibri" w:eastAsia="Calibri" w:hAnsi="Calibri" w:cs="Calibri"/>
          <w:b w:val="0"/>
          <w:bCs w:val="0"/>
          <w:color w:val="16161D"/>
          <w:sz w:val="22"/>
          <w:szCs w:val="22"/>
        </w:rPr>
        <w:t xml:space="preserve">The purpose of this procedure is to provide awareness that all credit card processing activities and related technologies must comply with the Payment Card Industry Data Security Standard (PCI-DSS) in its entirety. Card processing activities must be conducted as described herein and in accordance with the standards and procedures released by the Cybersecurity department. No activity may be conducted nor any technology employed that might obstruct compliance with any portion of the PCI-DSS. </w:t>
      </w:r>
      <w:r w:rsidR="57E87582">
        <w:br/>
      </w:r>
    </w:p>
    <w:p w14:paraId="0C4FEEE3" w14:textId="48F2E112" w:rsidR="00494F83" w:rsidRDefault="21D81C0A" w:rsidP="000552F4">
      <w:pPr>
        <w:pStyle w:val="Heading1"/>
        <w:keepNext/>
        <w:keepLines/>
        <w:numPr>
          <w:ilvl w:val="0"/>
          <w:numId w:val="18"/>
        </w:numPr>
        <w:pBdr>
          <w:bottom w:val="none" w:sz="0" w:space="0" w:color="auto"/>
        </w:pBdr>
        <w:spacing w:before="0" w:after="0"/>
        <w:textAlignment w:val="baseline"/>
      </w:pPr>
      <w:r>
        <w:t>Scope</w:t>
      </w:r>
    </w:p>
    <w:p w14:paraId="3C36BEF4" w14:textId="278F6A13" w:rsidR="00F779A9" w:rsidRPr="00F779A9" w:rsidRDefault="21D81C0A" w:rsidP="21D81C0A">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21D81C0A">
        <w:rPr>
          <w:rStyle w:val="normaltextrun"/>
          <w:rFonts w:ascii="Calibri" w:eastAsia="Calibri" w:hAnsi="Calibri" w:cs="Calibri"/>
          <w:b w:val="0"/>
          <w:bCs w:val="0"/>
          <w:color w:val="16161D"/>
          <w:sz w:val="22"/>
          <w:szCs w:val="22"/>
        </w:rPr>
        <w:t>All staff, employees and entities working on behalf of the</w:t>
      </w:r>
      <w:r w:rsidRPr="00BF40C4">
        <w:rPr>
          <w:rStyle w:val="normaltextrun"/>
          <w:rFonts w:ascii="Calibri" w:eastAsia="Calibri" w:hAnsi="Calibri" w:cs="Calibri"/>
          <w:bCs w:val="0"/>
          <w:color w:val="16161D"/>
          <w:sz w:val="22"/>
          <w:szCs w:val="22"/>
        </w:rPr>
        <w:t xml:space="preserve"> </w:t>
      </w:r>
      <w:r w:rsidR="00BF40C4" w:rsidRPr="00BF40C4">
        <w:rPr>
          <w:rStyle w:val="normaltextrun"/>
          <w:rFonts w:ascii="Calibri" w:eastAsia="Calibri" w:hAnsi="Calibri" w:cs="Calibri"/>
          <w:bCs w:val="0"/>
          <w:color w:val="16161D"/>
          <w:sz w:val="22"/>
          <w:szCs w:val="22"/>
        </w:rPr>
        <w:t>[Organization]</w:t>
      </w:r>
      <w:r w:rsidR="00BF40C4">
        <w:rPr>
          <w:rStyle w:val="normaltextrun"/>
          <w:rFonts w:ascii="Calibri" w:eastAsia="Calibri" w:hAnsi="Calibri" w:cs="Calibri"/>
          <w:b w:val="0"/>
          <w:bCs w:val="0"/>
          <w:color w:val="16161D"/>
          <w:sz w:val="22"/>
          <w:szCs w:val="22"/>
        </w:rPr>
        <w:t xml:space="preserve"> </w:t>
      </w:r>
      <w:r w:rsidRPr="21D81C0A">
        <w:rPr>
          <w:rStyle w:val="normaltextrun"/>
          <w:rFonts w:ascii="Calibri" w:eastAsia="Calibri" w:hAnsi="Calibri" w:cs="Calibri"/>
          <w:b w:val="0"/>
          <w:bCs w:val="0"/>
          <w:color w:val="16161D"/>
          <w:sz w:val="22"/>
          <w:szCs w:val="22"/>
        </w:rPr>
        <w:t>are subject to this procedure.</w:t>
      </w:r>
    </w:p>
    <w:p w14:paraId="19AB3203" w14:textId="77777777" w:rsidR="00F779A9" w:rsidRPr="00F779A9" w:rsidRDefault="00F779A9" w:rsidP="000552F4">
      <w:pPr>
        <w:spacing w:after="0" w:line="240" w:lineRule="auto"/>
        <w:rPr>
          <w:lang w:eastAsia="zh-CN" w:bidi="hi-IN"/>
        </w:rPr>
      </w:pPr>
    </w:p>
    <w:p w14:paraId="3815A545" w14:textId="4330C329" w:rsidR="009D5755" w:rsidRDefault="21D81C0A" w:rsidP="000D0721">
      <w:pPr>
        <w:pStyle w:val="Heading1"/>
        <w:keepNext/>
        <w:keepLines/>
        <w:numPr>
          <w:ilvl w:val="0"/>
          <w:numId w:val="18"/>
        </w:numPr>
        <w:pBdr>
          <w:bottom w:val="none" w:sz="0" w:space="0" w:color="auto"/>
        </w:pBdr>
        <w:spacing w:before="0" w:after="0"/>
        <w:textAlignment w:val="baseline"/>
      </w:pPr>
      <w:r>
        <w:t>Procedure</w:t>
      </w:r>
    </w:p>
    <w:p w14:paraId="557BAACF" w14:textId="77777777" w:rsidR="00E63E14" w:rsidRDefault="00E63E14" w:rsidP="00E95575">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1698F79E" w14:textId="222B5FC9" w:rsidR="003334A3" w:rsidRPr="003334A3" w:rsidRDefault="21D81C0A" w:rsidP="00E63E14">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u w:val="single"/>
        </w:rPr>
        <w:t>Adherence to Standards</w:t>
      </w:r>
      <w:r w:rsidR="003334A3">
        <w:br/>
      </w:r>
      <w:r w:rsidRPr="21D81C0A">
        <w:rPr>
          <w:rStyle w:val="normaltextrun"/>
          <w:rFonts w:ascii="Calibri" w:eastAsia="Calibri" w:hAnsi="Calibri" w:cs="Calibri"/>
          <w:color w:val="16161D"/>
          <w:sz w:val="22"/>
          <w:szCs w:val="22"/>
        </w:rPr>
        <w:t xml:space="preserve">Configuration standards must be maintained for applications, network components, critical </w:t>
      </w:r>
      <w:r w:rsidR="00FA6BAC">
        <w:rPr>
          <w:rStyle w:val="normaltextrun"/>
          <w:rFonts w:ascii="Calibri" w:eastAsia="Calibri" w:hAnsi="Calibri" w:cs="Calibri"/>
          <w:color w:val="16161D"/>
          <w:sz w:val="22"/>
          <w:szCs w:val="22"/>
        </w:rPr>
        <w:t xml:space="preserve">servers, </w:t>
      </w:r>
      <w:r w:rsidRPr="21D81C0A">
        <w:rPr>
          <w:rStyle w:val="normaltextrun"/>
          <w:rFonts w:ascii="Calibri" w:eastAsia="Calibri" w:hAnsi="Calibri" w:cs="Calibri"/>
          <w:color w:val="16161D"/>
          <w:sz w:val="22"/>
          <w:szCs w:val="22"/>
        </w:rPr>
        <w:t>wireless access points</w:t>
      </w:r>
      <w:r w:rsidR="00FA6BAC">
        <w:rPr>
          <w:rStyle w:val="normaltextrun"/>
          <w:rFonts w:ascii="Calibri" w:eastAsia="Calibri" w:hAnsi="Calibri" w:cs="Calibri"/>
          <w:color w:val="16161D"/>
          <w:sz w:val="22"/>
          <w:szCs w:val="22"/>
        </w:rPr>
        <w:t xml:space="preserve"> or any other equipment involved in the transaction process. </w:t>
      </w:r>
      <w:r w:rsidRPr="21D81C0A">
        <w:rPr>
          <w:rStyle w:val="normaltextrun"/>
          <w:rFonts w:ascii="Calibri" w:eastAsia="Calibri" w:hAnsi="Calibri" w:cs="Calibri"/>
          <w:color w:val="16161D"/>
          <w:sz w:val="22"/>
          <w:szCs w:val="22"/>
        </w:rPr>
        <w:t xml:space="preserve">These standards must be consistent with industry-accepted hardening standards as defined by organizations such as SysAdmin Assessment Network Security Network (SANS), National Institute of Standards </w:t>
      </w:r>
      <w:r w:rsidR="00FA6BAC">
        <w:rPr>
          <w:rStyle w:val="normaltextrun"/>
          <w:rFonts w:ascii="Calibri" w:eastAsia="Calibri" w:hAnsi="Calibri" w:cs="Calibri"/>
          <w:color w:val="16161D"/>
          <w:sz w:val="22"/>
          <w:szCs w:val="22"/>
        </w:rPr>
        <w:t xml:space="preserve">and </w:t>
      </w:r>
      <w:r w:rsidRPr="21D81C0A">
        <w:rPr>
          <w:rStyle w:val="normaltextrun"/>
          <w:rFonts w:ascii="Calibri" w:eastAsia="Calibri" w:hAnsi="Calibri" w:cs="Calibri"/>
          <w:color w:val="16161D"/>
          <w:sz w:val="22"/>
          <w:szCs w:val="22"/>
        </w:rPr>
        <w:t>Technology (NIST) International Organization for Standardization (ISO) and Center for Internet Security (CIS.)</w:t>
      </w:r>
      <w:r w:rsidR="00E63E14">
        <w:rPr>
          <w:rStyle w:val="normaltextrun"/>
          <w:rFonts w:ascii="Calibri" w:eastAsia="Calibri" w:hAnsi="Calibri" w:cs="Calibri"/>
          <w:color w:val="16161D"/>
          <w:sz w:val="22"/>
          <w:szCs w:val="22"/>
        </w:rPr>
        <w:t xml:space="preserve"> </w:t>
      </w:r>
      <w:r w:rsidRPr="21D81C0A">
        <w:rPr>
          <w:rStyle w:val="normaltextrun"/>
          <w:rFonts w:ascii="Calibri" w:eastAsia="Calibri" w:hAnsi="Calibri" w:cs="Calibri"/>
          <w:color w:val="16161D"/>
          <w:sz w:val="22"/>
          <w:szCs w:val="22"/>
        </w:rPr>
        <w:t>Configuration standards must include:</w:t>
      </w:r>
    </w:p>
    <w:p w14:paraId="6D05C3E3" w14:textId="320BEE98" w:rsidR="003334A3" w:rsidRPr="003334A3" w:rsidRDefault="21D81C0A" w:rsidP="00E63E14">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rPr>
        <w:t>Updates to anti-virus software and definitions</w:t>
      </w:r>
    </w:p>
    <w:p w14:paraId="3F84C7C4" w14:textId="77777777" w:rsidR="003334A3" w:rsidRPr="003334A3" w:rsidRDefault="21D81C0A" w:rsidP="00E63E14">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rPr>
        <w:t>Performance of periodic scans</w:t>
      </w:r>
    </w:p>
    <w:p w14:paraId="0EA83EAD" w14:textId="77DB1245" w:rsidR="00863D26" w:rsidRPr="003334A3" w:rsidRDefault="21D81C0A" w:rsidP="00E63E14">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rPr>
        <w:t>Generation of audit logs</w:t>
      </w:r>
    </w:p>
    <w:p w14:paraId="2A58CD31" w14:textId="7D805414" w:rsidR="003334A3" w:rsidRPr="003334A3" w:rsidRDefault="21D81C0A" w:rsidP="00E63E14">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rPr>
        <w:t>Identification of new security vulnerabilities along with Risk Ranking assignments for all “High Risk” and “Critical” vulnerabilities</w:t>
      </w:r>
    </w:p>
    <w:p w14:paraId="2C764707" w14:textId="354AA07E" w:rsidR="003334A3" w:rsidRPr="003334A3" w:rsidRDefault="21D81C0A" w:rsidP="00E63E14">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rPr>
        <w:t>Installation of all relevant security patches within 30 days of release</w:t>
      </w:r>
    </w:p>
    <w:p w14:paraId="0DFA6A78" w14:textId="14B1309A" w:rsidR="003334A3" w:rsidRPr="003334A3" w:rsidRDefault="21D81C0A" w:rsidP="00E63E14">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rPr>
        <w:t>Assignment of authentication mechanisms to individual accounts rather than shared accounts</w:t>
      </w:r>
    </w:p>
    <w:p w14:paraId="63E41CD2" w14:textId="0B0EFB50" w:rsidR="003334A3" w:rsidRDefault="21D81C0A" w:rsidP="00E63E14">
      <w:pPr>
        <w:pStyle w:val="paragraph"/>
        <w:numPr>
          <w:ilvl w:val="0"/>
          <w:numId w:val="24"/>
        </w:numPr>
        <w:spacing w:before="0" w:beforeAutospacing="0" w:after="0" w:afterAutospacing="0"/>
        <w:textAlignment w:val="baseline"/>
        <w:rPr>
          <w:rStyle w:val="normaltextrun"/>
          <w:rFonts w:ascii="Calibri" w:eastAsia="Calibri" w:hAnsi="Calibri" w:cs="Calibri"/>
          <w:color w:val="16161D"/>
          <w:sz w:val="22"/>
          <w:szCs w:val="22"/>
          <w:u w:val="single"/>
        </w:rPr>
      </w:pPr>
      <w:r w:rsidRPr="21D81C0A">
        <w:rPr>
          <w:rStyle w:val="normaltextrun"/>
          <w:rFonts w:ascii="Calibri" w:eastAsia="Calibri" w:hAnsi="Calibri" w:cs="Calibri"/>
          <w:color w:val="16161D"/>
          <w:sz w:val="22"/>
          <w:szCs w:val="22"/>
        </w:rPr>
        <w:t>Implementation of physical and/or logical controls in order to ensure only the intended account can gain access</w:t>
      </w:r>
    </w:p>
    <w:p w14:paraId="793870F9" w14:textId="77777777" w:rsidR="00E63E14" w:rsidRDefault="00E63E14" w:rsidP="00E95575">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131413CF" w14:textId="02079DAC" w:rsidR="007579EF" w:rsidRPr="007579EF" w:rsidRDefault="21D81C0A" w:rsidP="00E95575">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u w:val="single"/>
        </w:rPr>
        <w:t>Handling of Cardholder</w:t>
      </w:r>
      <w:r w:rsidR="00FA6BAC">
        <w:rPr>
          <w:rStyle w:val="normaltextrun"/>
          <w:rFonts w:ascii="Calibri" w:eastAsia="Calibri" w:hAnsi="Calibri" w:cs="Calibri"/>
          <w:color w:val="16161D"/>
          <w:sz w:val="22"/>
          <w:szCs w:val="22"/>
          <w:u w:val="single"/>
        </w:rPr>
        <w:t xml:space="preserve"> Data</w:t>
      </w:r>
    </w:p>
    <w:p w14:paraId="78FA3787" w14:textId="77777777" w:rsidR="007579EF" w:rsidRDefault="21D81C0A" w:rsidP="00E63E14">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Distribution, maintenance, and storage of media containing cardholder data, must be controlled, including that distributed to individuals. </w:t>
      </w:r>
    </w:p>
    <w:p w14:paraId="044DAD4F" w14:textId="77777777" w:rsidR="007579EF" w:rsidRDefault="21D81C0A" w:rsidP="00E63E14">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Procedures must include periodic media inventories in order to validate the effectiveness of these controls. </w:t>
      </w:r>
    </w:p>
    <w:p w14:paraId="255C09C3" w14:textId="77777777" w:rsidR="007579EF" w:rsidRDefault="21D81C0A" w:rsidP="00E63E14">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Listings of devices must be maintained along with periodic inspections of devices for signs of tampering. </w:t>
      </w:r>
    </w:p>
    <w:p w14:paraId="15F7ADBA" w14:textId="758F211D" w:rsidR="00E63E14" w:rsidRDefault="21D81C0A" w:rsidP="00164F2A">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00E63E14">
        <w:rPr>
          <w:rStyle w:val="normaltextrun"/>
          <w:rFonts w:ascii="Calibri" w:eastAsia="Calibri" w:hAnsi="Calibri" w:cs="Calibri"/>
          <w:color w:val="16161D"/>
          <w:sz w:val="22"/>
          <w:szCs w:val="22"/>
        </w:rPr>
        <w:t xml:space="preserve">Training mechanism must be placed to alert staff when device tampering is evident. </w:t>
      </w:r>
    </w:p>
    <w:p w14:paraId="20D43342" w14:textId="5694651B" w:rsidR="007579EF" w:rsidRPr="00E63E14" w:rsidRDefault="21D81C0A" w:rsidP="00164F2A">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00E63E14">
        <w:rPr>
          <w:rStyle w:val="normaltextrun"/>
          <w:rFonts w:ascii="Calibri" w:eastAsia="Calibri" w:hAnsi="Calibri" w:cs="Calibri"/>
          <w:color w:val="16161D"/>
          <w:sz w:val="22"/>
          <w:szCs w:val="22"/>
        </w:rPr>
        <w:t>Procedures for data retention and disposal must be maintained by each department and must include the following</w:t>
      </w:r>
      <w:r w:rsidR="00FA6BAC" w:rsidRPr="00E63E14">
        <w:rPr>
          <w:rStyle w:val="normaltextrun"/>
          <w:rFonts w:ascii="Calibri" w:eastAsia="Calibri" w:hAnsi="Calibri" w:cs="Calibri"/>
          <w:color w:val="16161D"/>
          <w:sz w:val="22"/>
          <w:szCs w:val="22"/>
        </w:rPr>
        <w:t xml:space="preserve"> legal, regulatory and business requirements which include</w:t>
      </w:r>
      <w:r w:rsidRPr="00E63E14">
        <w:rPr>
          <w:rStyle w:val="normaltextrun"/>
          <w:rFonts w:ascii="Calibri" w:eastAsia="Calibri" w:hAnsi="Calibri" w:cs="Calibri"/>
          <w:color w:val="16161D"/>
          <w:sz w:val="22"/>
          <w:szCs w:val="22"/>
        </w:rPr>
        <w:t>:</w:t>
      </w:r>
    </w:p>
    <w:p w14:paraId="4161F021" w14:textId="4B597417" w:rsidR="00C54852" w:rsidRDefault="001771AB" w:rsidP="00E63E14">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S</w:t>
      </w:r>
      <w:r w:rsidR="21D81C0A" w:rsidRPr="21D81C0A">
        <w:rPr>
          <w:rStyle w:val="normaltextrun"/>
          <w:rFonts w:ascii="Calibri" w:eastAsia="Calibri" w:hAnsi="Calibri" w:cs="Calibri"/>
          <w:color w:val="16161D"/>
          <w:sz w:val="22"/>
          <w:szCs w:val="22"/>
        </w:rPr>
        <w:t>pecific requirements for retention of cardholder data</w:t>
      </w:r>
    </w:p>
    <w:p w14:paraId="4D2764C9" w14:textId="1FBE0A27" w:rsidR="001A0416" w:rsidRDefault="21D81C0A" w:rsidP="00E63E14">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Provisions for disposal of data when no longer needed including disposal of cardholder data</w:t>
      </w:r>
    </w:p>
    <w:p w14:paraId="0EF1CAC2" w14:textId="2458ADBF" w:rsidR="00BF40C4" w:rsidRDefault="00BF40C4" w:rsidP="00BF40C4">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u w:val="single"/>
        </w:rPr>
        <w:lastRenderedPageBreak/>
        <w:t>Handling of Cardholder</w:t>
      </w:r>
      <w:r>
        <w:rPr>
          <w:rStyle w:val="normaltextrun"/>
          <w:rFonts w:ascii="Calibri" w:eastAsia="Calibri" w:hAnsi="Calibri" w:cs="Calibri"/>
          <w:color w:val="16161D"/>
          <w:sz w:val="22"/>
          <w:szCs w:val="22"/>
          <w:u w:val="single"/>
        </w:rPr>
        <w:t xml:space="preserve"> Data</w:t>
      </w:r>
      <w:r>
        <w:rPr>
          <w:rStyle w:val="normaltextrun"/>
          <w:rFonts w:ascii="Calibri" w:eastAsia="Calibri" w:hAnsi="Calibri" w:cs="Calibri"/>
          <w:color w:val="16161D"/>
          <w:sz w:val="22"/>
          <w:szCs w:val="22"/>
          <w:u w:val="single"/>
        </w:rPr>
        <w:t xml:space="preserve"> (cont.)</w:t>
      </w:r>
    </w:p>
    <w:p w14:paraId="760DA1E0" w14:textId="296125BF" w:rsidR="001771AB" w:rsidRDefault="001771AB" w:rsidP="00E63E14">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A </w:t>
      </w:r>
      <w:r w:rsidR="21D81C0A" w:rsidRPr="21D81C0A">
        <w:rPr>
          <w:rStyle w:val="normaltextrun"/>
          <w:rFonts w:ascii="Calibri" w:eastAsia="Calibri" w:hAnsi="Calibri" w:cs="Calibri"/>
          <w:color w:val="16161D"/>
          <w:sz w:val="22"/>
          <w:szCs w:val="22"/>
        </w:rPr>
        <w:t>process to remove</w:t>
      </w:r>
      <w:r>
        <w:rPr>
          <w:rStyle w:val="normaltextrun"/>
          <w:rFonts w:ascii="Calibri" w:eastAsia="Calibri" w:hAnsi="Calibri" w:cs="Calibri"/>
          <w:color w:val="16161D"/>
          <w:sz w:val="22"/>
          <w:szCs w:val="22"/>
        </w:rPr>
        <w:t xml:space="preserve"> </w:t>
      </w:r>
      <w:r w:rsidR="21D81C0A" w:rsidRPr="21D81C0A">
        <w:rPr>
          <w:rStyle w:val="normaltextrun"/>
          <w:rFonts w:ascii="Calibri" w:eastAsia="Calibri" w:hAnsi="Calibri" w:cs="Calibri"/>
          <w:color w:val="16161D"/>
          <w:sz w:val="22"/>
          <w:szCs w:val="22"/>
        </w:rPr>
        <w:t>stored cardholder data that exceeds busine</w:t>
      </w:r>
      <w:r>
        <w:rPr>
          <w:rStyle w:val="normaltextrun"/>
          <w:rFonts w:ascii="Calibri" w:eastAsia="Calibri" w:hAnsi="Calibri" w:cs="Calibri"/>
          <w:color w:val="16161D"/>
          <w:sz w:val="22"/>
          <w:szCs w:val="22"/>
        </w:rPr>
        <w:t>ss retention requirements (at least on a quarterly basis)</w:t>
      </w:r>
    </w:p>
    <w:p w14:paraId="6F0D5CBC" w14:textId="2C213243" w:rsidR="00784D67" w:rsidRDefault="001771AB" w:rsidP="00E63E14">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An audit process </w:t>
      </w:r>
      <w:r w:rsidR="21D81C0A" w:rsidRPr="21D81C0A">
        <w:rPr>
          <w:rStyle w:val="normaltextrun"/>
          <w:rFonts w:ascii="Calibri" w:eastAsia="Calibri" w:hAnsi="Calibri" w:cs="Calibri"/>
          <w:color w:val="16161D"/>
          <w:sz w:val="22"/>
          <w:szCs w:val="22"/>
        </w:rPr>
        <w:t>to verify that stored cardholder data does not exceed business retention requirements</w:t>
      </w:r>
      <w:r>
        <w:rPr>
          <w:rStyle w:val="normaltextrun"/>
          <w:rFonts w:ascii="Calibri" w:eastAsia="Calibri" w:hAnsi="Calibri" w:cs="Calibri"/>
          <w:color w:val="16161D"/>
          <w:sz w:val="22"/>
          <w:szCs w:val="22"/>
        </w:rPr>
        <w:t xml:space="preserve"> (at least on a quarterly basis)</w:t>
      </w:r>
    </w:p>
    <w:p w14:paraId="39AD2DEA" w14:textId="7A873235" w:rsidR="00863D26" w:rsidRDefault="21D81C0A" w:rsidP="00E63E14">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Destruction of </w:t>
      </w:r>
      <w:r w:rsidR="001771AB">
        <w:rPr>
          <w:rStyle w:val="normaltextrun"/>
          <w:rFonts w:ascii="Calibri" w:eastAsia="Calibri" w:hAnsi="Calibri" w:cs="Calibri"/>
          <w:color w:val="16161D"/>
          <w:sz w:val="22"/>
          <w:szCs w:val="22"/>
        </w:rPr>
        <w:t>media leveraging one of the following techniques: c</w:t>
      </w:r>
      <w:r w:rsidRPr="21D81C0A">
        <w:rPr>
          <w:rStyle w:val="normaltextrun"/>
          <w:rFonts w:ascii="Calibri" w:eastAsia="Calibri" w:hAnsi="Calibri" w:cs="Calibri"/>
          <w:color w:val="16161D"/>
          <w:sz w:val="22"/>
          <w:szCs w:val="22"/>
        </w:rPr>
        <w:t>ross-cut shred, incinerate or pulp hardcopy materials. Purge, degauss, shred or otherwise destroy electronic media such that data cannot be reconstructed</w:t>
      </w:r>
    </w:p>
    <w:p w14:paraId="412D4046" w14:textId="77777777" w:rsidR="001A0416" w:rsidRPr="001A0416" w:rsidRDefault="21D81C0A" w:rsidP="00E95575">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u w:val="single"/>
        </w:rPr>
        <w:t>Roles and Responsibilities</w:t>
      </w:r>
    </w:p>
    <w:p w14:paraId="374558C7" w14:textId="42B5E7D1" w:rsidR="001A0416" w:rsidRDefault="21D81C0A" w:rsidP="00E95575">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Cybersecurity Officer (or equivalent) is responsible for overseeing all aspects of Information Security, including but not limited to: </w:t>
      </w:r>
    </w:p>
    <w:p w14:paraId="04266230" w14:textId="2BC6FCFE" w:rsidR="001A0416"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Creating and distributing security policies and procedures</w:t>
      </w:r>
    </w:p>
    <w:p w14:paraId="0BE466E8" w14:textId="1482BC76" w:rsidR="001A0416"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Monitoring and analyzing security alerts and distributing information to appropriate information security and business unit management personnel</w:t>
      </w:r>
    </w:p>
    <w:p w14:paraId="7684B8E8" w14:textId="6EBE46D3" w:rsidR="001A0416"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Monitoring service providers PCI compliance at least annually</w:t>
      </w:r>
    </w:p>
    <w:p w14:paraId="0F83F6AF" w14:textId="1C54AE9B" w:rsidR="000552F4"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Maintaining a formal security awareness program for all employees that provides multiple methods of communicating awareness and educating employees (e.g. posters, letters, meetings)</w:t>
      </w:r>
    </w:p>
    <w:p w14:paraId="77BB3504" w14:textId="52B23439" w:rsidR="001A0416"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Reviewing </w:t>
      </w:r>
      <w:r w:rsidR="00453836">
        <w:rPr>
          <w:rStyle w:val="normaltextrun"/>
          <w:rFonts w:ascii="Calibri" w:eastAsia="Calibri" w:hAnsi="Calibri" w:cs="Calibri"/>
          <w:color w:val="16161D"/>
          <w:sz w:val="22"/>
          <w:szCs w:val="22"/>
        </w:rPr>
        <w:t xml:space="preserve">daily </w:t>
      </w:r>
      <w:r w:rsidRPr="21D81C0A">
        <w:rPr>
          <w:rStyle w:val="normaltextrun"/>
          <w:rFonts w:ascii="Calibri" w:eastAsia="Calibri" w:hAnsi="Calibri" w:cs="Calibri"/>
          <w:color w:val="16161D"/>
          <w:sz w:val="22"/>
          <w:szCs w:val="22"/>
        </w:rPr>
        <w:t xml:space="preserve">security logs </w:t>
      </w:r>
      <w:r w:rsidR="00453836">
        <w:rPr>
          <w:rStyle w:val="normaltextrun"/>
          <w:rFonts w:ascii="Calibri" w:eastAsia="Calibri" w:hAnsi="Calibri" w:cs="Calibri"/>
          <w:color w:val="16161D"/>
          <w:sz w:val="22"/>
          <w:szCs w:val="22"/>
        </w:rPr>
        <w:t>and</w:t>
      </w:r>
      <w:r w:rsidRPr="21D81C0A">
        <w:rPr>
          <w:rStyle w:val="normaltextrun"/>
          <w:rFonts w:ascii="Calibri" w:eastAsia="Calibri" w:hAnsi="Calibri" w:cs="Calibri"/>
          <w:color w:val="16161D"/>
          <w:sz w:val="22"/>
          <w:szCs w:val="22"/>
        </w:rPr>
        <w:t xml:space="preserve"> follow-up on </w:t>
      </w:r>
      <w:r w:rsidR="00453836">
        <w:rPr>
          <w:rStyle w:val="normaltextrun"/>
          <w:rFonts w:ascii="Calibri" w:eastAsia="Calibri" w:hAnsi="Calibri" w:cs="Calibri"/>
          <w:color w:val="16161D"/>
          <w:sz w:val="22"/>
          <w:szCs w:val="22"/>
        </w:rPr>
        <w:t>noted concerns</w:t>
      </w:r>
    </w:p>
    <w:p w14:paraId="4052CF5D" w14:textId="7959C740" w:rsidR="001A0416" w:rsidRDefault="21D81C0A" w:rsidP="00E95575">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The Information Technology Office (or equivalent) should maintain daily administrative and technical operational security procedures that are consistent with the PCI-DSS (e.g. user account maintenance procedures and log review procedures.)</w:t>
      </w:r>
    </w:p>
    <w:p w14:paraId="45FD1B6A" w14:textId="49B0D798" w:rsidR="005F3234" w:rsidRDefault="21D81C0A" w:rsidP="00E95575">
      <w:pPr>
        <w:pStyle w:val="paragraph"/>
        <w:numPr>
          <w:ilvl w:val="0"/>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System and Applications Administrators should:</w:t>
      </w:r>
    </w:p>
    <w:p w14:paraId="379A6182" w14:textId="4FD9BCFA" w:rsidR="005F3234"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Monitor and analyze security alerts and/or information and then distribute to appropriate personnel</w:t>
      </w:r>
    </w:p>
    <w:p w14:paraId="3C6F9ED8" w14:textId="14E588D2" w:rsidR="005F3234"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Administer user accounts and manage authentication</w:t>
      </w:r>
    </w:p>
    <w:p w14:paraId="2B7D0559" w14:textId="292EA35E" w:rsidR="005F3234"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Monitor and control all access to data</w:t>
      </w:r>
    </w:p>
    <w:p w14:paraId="7D3E03B1" w14:textId="48AF52B9" w:rsidR="005F3234" w:rsidRDefault="21D81C0A" w:rsidP="00E95575">
      <w:pPr>
        <w:pStyle w:val="paragraph"/>
        <w:numPr>
          <w:ilvl w:val="1"/>
          <w:numId w:val="24"/>
        </w:numPr>
        <w:spacing w:before="0" w:before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Maintain a list of connected </w:t>
      </w:r>
      <w:r w:rsidR="00453836">
        <w:rPr>
          <w:rStyle w:val="normaltextrun"/>
          <w:rFonts w:ascii="Calibri" w:eastAsia="Calibri" w:hAnsi="Calibri" w:cs="Calibri"/>
          <w:color w:val="16161D"/>
          <w:sz w:val="22"/>
          <w:szCs w:val="22"/>
        </w:rPr>
        <w:t>devices</w:t>
      </w:r>
    </w:p>
    <w:p w14:paraId="7024447E" w14:textId="5AEC08EE" w:rsidR="00B572AF" w:rsidRPr="005F3234" w:rsidRDefault="21D81C0A" w:rsidP="00E95575">
      <w:pPr>
        <w:pStyle w:val="paragraph"/>
        <w:numPr>
          <w:ilvl w:val="1"/>
          <w:numId w:val="24"/>
        </w:numPr>
        <w:spacing w:before="0" w:beforeAutospacing="0" w:after="0" w:afterAutospacing="0"/>
        <w:textAlignment w:val="baseline"/>
        <w:rPr>
          <w:rStyle w:val="normaltextrun"/>
          <w:rFonts w:ascii="Calibri" w:eastAsia="Calibri" w:hAnsi="Calibri" w:cs="Calibri"/>
          <w:color w:val="16161D"/>
          <w:sz w:val="22"/>
          <w:szCs w:val="22"/>
        </w:rPr>
      </w:pPr>
      <w:r w:rsidRPr="21D81C0A">
        <w:rPr>
          <w:rStyle w:val="normaltextrun"/>
          <w:rFonts w:ascii="Calibri" w:eastAsia="Calibri" w:hAnsi="Calibri" w:cs="Calibri"/>
          <w:color w:val="16161D"/>
          <w:sz w:val="22"/>
          <w:szCs w:val="22"/>
        </w:rPr>
        <w:t xml:space="preserve">Perform due diligence prior to connecting </w:t>
      </w:r>
      <w:r w:rsidR="00453836">
        <w:rPr>
          <w:rStyle w:val="normaltextrun"/>
          <w:rFonts w:ascii="Calibri" w:eastAsia="Calibri" w:hAnsi="Calibri" w:cs="Calibri"/>
          <w:color w:val="16161D"/>
          <w:sz w:val="22"/>
          <w:szCs w:val="22"/>
        </w:rPr>
        <w:t xml:space="preserve">a device including </w:t>
      </w:r>
      <w:r w:rsidRPr="21D81C0A">
        <w:rPr>
          <w:rStyle w:val="normaltextrun"/>
          <w:rFonts w:ascii="Calibri" w:eastAsia="Calibri" w:hAnsi="Calibri" w:cs="Calibri"/>
          <w:color w:val="16161D"/>
          <w:sz w:val="22"/>
          <w:szCs w:val="22"/>
        </w:rPr>
        <w:t>supporting documentation</w:t>
      </w:r>
    </w:p>
    <w:p w14:paraId="21C3BB66" w14:textId="77777777" w:rsidR="00635240" w:rsidRDefault="00635240" w:rsidP="00E95575">
      <w:pPr>
        <w:pStyle w:val="paragraph"/>
        <w:spacing w:before="240" w:beforeAutospacing="0" w:after="0" w:afterAutospacing="0"/>
        <w:ind w:left="360"/>
        <w:textAlignment w:val="baseline"/>
        <w:rPr>
          <w:rStyle w:val="normaltextrun"/>
          <w:rFonts w:ascii="Calibri" w:eastAsia="Calibri" w:hAnsi="Calibri" w:cs="Calibri"/>
          <w:color w:val="16161D"/>
          <w:sz w:val="22"/>
          <w:szCs w:val="22"/>
        </w:rPr>
      </w:pPr>
    </w:p>
    <w:p w14:paraId="359015E8" w14:textId="2E5CE1BB" w:rsidR="009D5755" w:rsidRDefault="21D81C0A" w:rsidP="00E95575">
      <w:pPr>
        <w:pStyle w:val="Heading1"/>
        <w:keepNext/>
        <w:keepLines/>
        <w:numPr>
          <w:ilvl w:val="0"/>
          <w:numId w:val="18"/>
        </w:numPr>
        <w:pBdr>
          <w:bottom w:val="none" w:sz="0" w:space="0" w:color="auto"/>
        </w:pBdr>
        <w:spacing w:before="0" w:after="0"/>
      </w:pPr>
      <w:r>
        <w:t>Enforcement</w:t>
      </w:r>
    </w:p>
    <w:p w14:paraId="409CDD22" w14:textId="43E725F9" w:rsidR="008A201B" w:rsidRDefault="21D81C0A" w:rsidP="00E95575">
      <w:pPr>
        <w:spacing w:line="240" w:lineRule="auto"/>
        <w:ind w:left="360"/>
        <w:rPr>
          <w:rStyle w:val="normaltextrun"/>
          <w:rFonts w:ascii="Calibri" w:eastAsia="Calibri" w:hAnsi="Calibri" w:cs="Calibri"/>
        </w:rPr>
      </w:pPr>
      <w:r w:rsidRPr="21D81C0A">
        <w:rPr>
          <w:rStyle w:val="normaltextrun"/>
          <w:rFonts w:ascii="Calibri" w:eastAsia="Calibri" w:hAnsi="Calibri" w:cs="Calibri"/>
        </w:rPr>
        <w:t>This procedure is for your protection. Violation of this procedure could be reported to the appropriate supervisor and could be subject to potential disciplinary action, up to and including termination.</w:t>
      </w:r>
    </w:p>
    <w:p w14:paraId="15A8A736" w14:textId="210F78EF" w:rsidR="001734D5" w:rsidRDefault="21D81C0A" w:rsidP="00E95575">
      <w:pPr>
        <w:spacing w:line="240" w:lineRule="auto"/>
        <w:ind w:left="360"/>
        <w:rPr>
          <w:rStyle w:val="normaltextrun"/>
          <w:rFonts w:ascii="Calibri" w:eastAsia="Calibri" w:hAnsi="Calibri" w:cs="Calibri"/>
        </w:rPr>
      </w:pPr>
      <w:r w:rsidRPr="21D81C0A">
        <w:rPr>
          <w:rStyle w:val="normaltextrun"/>
          <w:rFonts w:ascii="Calibri" w:eastAsia="Calibri" w:hAnsi="Calibri" w:cs="Calibri"/>
        </w:rPr>
        <w:t>The Network Services and/or Cybersecurity teams will verify compliance with these procedures through various methods, including but not limited to: period walk-throug</w:t>
      </w:r>
      <w:r w:rsidR="00453836">
        <w:rPr>
          <w:rStyle w:val="normaltextrun"/>
          <w:rFonts w:ascii="Calibri" w:eastAsia="Calibri" w:hAnsi="Calibri" w:cs="Calibri"/>
        </w:rPr>
        <w:t>hs</w:t>
      </w:r>
      <w:r w:rsidRPr="21D81C0A">
        <w:rPr>
          <w:rStyle w:val="normaltextrun"/>
          <w:rFonts w:ascii="Calibri" w:eastAsia="Calibri" w:hAnsi="Calibri" w:cs="Calibri"/>
        </w:rPr>
        <w:t>, business tool reports, internal and external audits, and feedback to the procedure owner.</w:t>
      </w:r>
    </w:p>
    <w:p w14:paraId="4B11BF97" w14:textId="3D196859" w:rsidR="00B80156" w:rsidRDefault="21D81C0A" w:rsidP="000D0721">
      <w:pPr>
        <w:pStyle w:val="Heading1"/>
        <w:keepNext/>
        <w:keepLines/>
        <w:numPr>
          <w:ilvl w:val="0"/>
          <w:numId w:val="18"/>
        </w:numPr>
        <w:pBdr>
          <w:bottom w:val="none" w:sz="0" w:space="0" w:color="auto"/>
        </w:pBdr>
        <w:spacing w:before="0" w:after="0"/>
      </w:pPr>
      <w:r>
        <w:t>Exceptions</w:t>
      </w:r>
      <w:bookmarkStart w:id="0" w:name="_GoBack"/>
      <w:bookmarkEnd w:id="0"/>
    </w:p>
    <w:p w14:paraId="12C4E6A4" w14:textId="35B1EE5F" w:rsidR="00494F83" w:rsidRDefault="21D81C0A" w:rsidP="21D81C0A">
      <w:pPr>
        <w:spacing w:line="240" w:lineRule="auto"/>
        <w:ind w:left="360"/>
        <w:rPr>
          <w:rStyle w:val="normaltextrun"/>
          <w:rFonts w:ascii="Calibri" w:eastAsia="Calibri" w:hAnsi="Calibri" w:cs="Calibri"/>
        </w:rPr>
      </w:pPr>
      <w:r w:rsidRPr="21D81C0A">
        <w:rPr>
          <w:rStyle w:val="normaltextrun"/>
          <w:rFonts w:ascii="Calibri" w:eastAsia="Calibri" w:hAnsi="Calibri" w:cs="Calibri"/>
        </w:rPr>
        <w:t>Limited exceptions to the procedure must be approved by the</w:t>
      </w:r>
      <w:r w:rsidRPr="00BF40C4">
        <w:rPr>
          <w:rStyle w:val="normaltextrun"/>
          <w:rFonts w:ascii="Calibri" w:eastAsia="Calibri" w:hAnsi="Calibri" w:cs="Calibri"/>
          <w:b/>
        </w:rPr>
        <w:t xml:space="preserve"> </w:t>
      </w:r>
      <w:r w:rsidR="00BF40C4" w:rsidRPr="00BF40C4">
        <w:rPr>
          <w:rStyle w:val="normaltextrun"/>
          <w:rFonts w:ascii="Calibri" w:eastAsia="Calibri" w:hAnsi="Calibri" w:cs="Calibri"/>
          <w:b/>
        </w:rPr>
        <w:t>[management]</w:t>
      </w:r>
      <w:r w:rsidRPr="00BF40C4">
        <w:rPr>
          <w:rStyle w:val="normaltextrun"/>
          <w:rFonts w:ascii="Calibri" w:eastAsia="Calibri" w:hAnsi="Calibri" w:cs="Calibri"/>
          <w:b/>
        </w:rPr>
        <w:t>.</w:t>
      </w:r>
      <w:r w:rsidRPr="21D81C0A">
        <w:rPr>
          <w:rStyle w:val="normaltextrun"/>
          <w:rFonts w:ascii="Calibri" w:eastAsia="Calibri" w:hAnsi="Calibri" w:cs="Calibri"/>
        </w:rPr>
        <w:t xml:space="preserve"> </w:t>
      </w:r>
    </w:p>
    <w:p w14:paraId="036BCA8B" w14:textId="6BEF7C63" w:rsidR="00613191" w:rsidRDefault="21D81C0A" w:rsidP="21D81C0A">
      <w:pPr>
        <w:pStyle w:val="ListParagraph"/>
        <w:numPr>
          <w:ilvl w:val="0"/>
          <w:numId w:val="18"/>
        </w:numPr>
        <w:rPr>
          <w:rFonts w:asciiTheme="majorHAnsi" w:eastAsiaTheme="majorEastAsia" w:hAnsiTheme="majorHAnsi" w:cstheme="majorBidi"/>
          <w:b/>
          <w:bCs/>
          <w:color w:val="2E74B5" w:themeColor="accent1" w:themeShade="BF"/>
          <w:sz w:val="24"/>
          <w:szCs w:val="24"/>
        </w:rPr>
      </w:pPr>
      <w:r w:rsidRPr="21D81C0A">
        <w:rPr>
          <w:rFonts w:asciiTheme="majorHAnsi" w:eastAsiaTheme="majorEastAsia" w:hAnsiTheme="majorHAnsi" w:cstheme="majorBidi"/>
          <w:b/>
          <w:bCs/>
          <w:color w:val="2E74B5" w:themeColor="accent1" w:themeShade="BF"/>
          <w:sz w:val="24"/>
          <w:szCs w:val="24"/>
        </w:rPr>
        <w:t>Definitions</w:t>
      </w:r>
    </w:p>
    <w:p w14:paraId="16704873" w14:textId="03D35173" w:rsidR="00E95575" w:rsidRDefault="21D81C0A" w:rsidP="00E769BA">
      <w:pPr>
        <w:pStyle w:val="paragraph"/>
        <w:numPr>
          <w:ilvl w:val="0"/>
          <w:numId w:val="19"/>
        </w:numPr>
        <w:spacing w:before="0" w:beforeAutospacing="0"/>
        <w:textAlignment w:val="baseline"/>
        <w:rPr>
          <w:rFonts w:asciiTheme="majorHAnsi" w:eastAsiaTheme="majorEastAsia" w:hAnsiTheme="majorHAnsi" w:cstheme="majorBidi"/>
          <w:b/>
          <w:bCs/>
          <w:color w:val="000000" w:themeColor="text1"/>
          <w:sz w:val="22"/>
          <w:szCs w:val="22"/>
        </w:rPr>
      </w:pPr>
      <w:r w:rsidRPr="00E769BA">
        <w:rPr>
          <w:rStyle w:val="normaltextrun"/>
          <w:rFonts w:ascii="Calibri" w:eastAsia="Calibri" w:hAnsi="Calibri" w:cs="Calibri"/>
          <w:color w:val="000000" w:themeColor="text1"/>
          <w:sz w:val="22"/>
          <w:szCs w:val="22"/>
        </w:rPr>
        <w:t>Not applicable at this time.</w:t>
      </w:r>
      <w:r w:rsidR="00E769BA">
        <w:rPr>
          <w:rFonts w:asciiTheme="majorHAnsi" w:eastAsiaTheme="majorEastAsia" w:hAnsiTheme="majorHAnsi" w:cstheme="majorBidi"/>
          <w:b/>
          <w:bCs/>
          <w:color w:val="000000" w:themeColor="text1"/>
          <w:sz w:val="22"/>
          <w:szCs w:val="22"/>
        </w:rPr>
        <w:t xml:space="preserve"> </w:t>
      </w:r>
    </w:p>
    <w:sectPr w:rsidR="00E95575"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73E9" w14:textId="77777777" w:rsidR="0074130D" w:rsidRDefault="0074130D" w:rsidP="0068634E">
      <w:pPr>
        <w:spacing w:after="0" w:line="240" w:lineRule="auto"/>
      </w:pPr>
      <w:r>
        <w:separator/>
      </w:r>
    </w:p>
  </w:endnote>
  <w:endnote w:type="continuationSeparator" w:id="0">
    <w:p w14:paraId="68AD79D6" w14:textId="77777777" w:rsidR="0074130D" w:rsidRDefault="0074130D"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CBC5" w14:textId="77777777" w:rsidR="0074130D" w:rsidRDefault="0074130D" w:rsidP="0068634E">
      <w:pPr>
        <w:spacing w:after="0" w:line="240" w:lineRule="auto"/>
      </w:pPr>
      <w:r>
        <w:separator/>
      </w:r>
    </w:p>
  </w:footnote>
  <w:footnote w:type="continuationSeparator" w:id="0">
    <w:p w14:paraId="38C674B6" w14:textId="77777777" w:rsidR="0074130D" w:rsidRDefault="0074130D"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4AD0"/>
    <w:multiLevelType w:val="hybridMultilevel"/>
    <w:tmpl w:val="74ECF96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4"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6"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10AA"/>
    <w:multiLevelType w:val="hybridMultilevel"/>
    <w:tmpl w:val="644AC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81329"/>
    <w:multiLevelType w:val="hybridMultilevel"/>
    <w:tmpl w:val="BA40B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3"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7"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18"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2"/>
  </w:num>
  <w:num w:numId="4">
    <w:abstractNumId w:val="3"/>
  </w:num>
  <w:num w:numId="5">
    <w:abstractNumId w:val="17"/>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num>
  <w:num w:numId="13">
    <w:abstractNumId w:val="14"/>
  </w:num>
  <w:num w:numId="14">
    <w:abstractNumId w:val="4"/>
  </w:num>
  <w:num w:numId="15">
    <w:abstractNumId w:val="19"/>
  </w:num>
  <w:num w:numId="16">
    <w:abstractNumId w:val="0"/>
  </w:num>
  <w:num w:numId="17">
    <w:abstractNumId w:val="10"/>
  </w:num>
  <w:num w:numId="18">
    <w:abstractNumId w:val="1"/>
  </w:num>
  <w:num w:numId="19">
    <w:abstractNumId w:val="7"/>
  </w:num>
  <w:num w:numId="20">
    <w:abstractNumId w:val="11"/>
  </w:num>
  <w:num w:numId="21">
    <w:abstractNumId w:val="18"/>
  </w:num>
  <w:num w:numId="22">
    <w:abstractNumId w:val="2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552F4"/>
    <w:rsid w:val="00067556"/>
    <w:rsid w:val="00091591"/>
    <w:rsid w:val="000D03A4"/>
    <w:rsid w:val="000D0721"/>
    <w:rsid w:val="000D457C"/>
    <w:rsid w:val="000F51D7"/>
    <w:rsid w:val="00160CEF"/>
    <w:rsid w:val="00165A93"/>
    <w:rsid w:val="001734D5"/>
    <w:rsid w:val="001771AB"/>
    <w:rsid w:val="001A0416"/>
    <w:rsid w:val="001C7314"/>
    <w:rsid w:val="002255BD"/>
    <w:rsid w:val="002B5045"/>
    <w:rsid w:val="00301669"/>
    <w:rsid w:val="003334A3"/>
    <w:rsid w:val="00374788"/>
    <w:rsid w:val="003C0A3B"/>
    <w:rsid w:val="003E29ED"/>
    <w:rsid w:val="00421F6C"/>
    <w:rsid w:val="00453836"/>
    <w:rsid w:val="00454727"/>
    <w:rsid w:val="00494F83"/>
    <w:rsid w:val="004D3BBA"/>
    <w:rsid w:val="005A5ACD"/>
    <w:rsid w:val="005F3234"/>
    <w:rsid w:val="00611D8E"/>
    <w:rsid w:val="00613191"/>
    <w:rsid w:val="00635240"/>
    <w:rsid w:val="0068634E"/>
    <w:rsid w:val="006A0A14"/>
    <w:rsid w:val="0074130D"/>
    <w:rsid w:val="00745509"/>
    <w:rsid w:val="00753D96"/>
    <w:rsid w:val="007579EF"/>
    <w:rsid w:val="00773B51"/>
    <w:rsid w:val="00784D67"/>
    <w:rsid w:val="00787876"/>
    <w:rsid w:val="007E0CFC"/>
    <w:rsid w:val="008049F9"/>
    <w:rsid w:val="00816580"/>
    <w:rsid w:val="00817943"/>
    <w:rsid w:val="008419F2"/>
    <w:rsid w:val="00843DA9"/>
    <w:rsid w:val="00863D26"/>
    <w:rsid w:val="00863D8A"/>
    <w:rsid w:val="00874B42"/>
    <w:rsid w:val="008A201B"/>
    <w:rsid w:val="008D3491"/>
    <w:rsid w:val="008F7CA6"/>
    <w:rsid w:val="009215FF"/>
    <w:rsid w:val="00936780"/>
    <w:rsid w:val="009539E5"/>
    <w:rsid w:val="00967294"/>
    <w:rsid w:val="00971561"/>
    <w:rsid w:val="009D5755"/>
    <w:rsid w:val="00A223EF"/>
    <w:rsid w:val="00A26A94"/>
    <w:rsid w:val="00A92B33"/>
    <w:rsid w:val="00AB50BB"/>
    <w:rsid w:val="00B3355E"/>
    <w:rsid w:val="00B572AF"/>
    <w:rsid w:val="00B72B1A"/>
    <w:rsid w:val="00B80156"/>
    <w:rsid w:val="00BA1831"/>
    <w:rsid w:val="00BC4413"/>
    <w:rsid w:val="00BE7B69"/>
    <w:rsid w:val="00BF40C4"/>
    <w:rsid w:val="00C54852"/>
    <w:rsid w:val="00CE6369"/>
    <w:rsid w:val="00D02E7B"/>
    <w:rsid w:val="00D121FA"/>
    <w:rsid w:val="00D34B0A"/>
    <w:rsid w:val="00DE49DD"/>
    <w:rsid w:val="00E565E7"/>
    <w:rsid w:val="00E57D3B"/>
    <w:rsid w:val="00E639EB"/>
    <w:rsid w:val="00E63E14"/>
    <w:rsid w:val="00E769BA"/>
    <w:rsid w:val="00E95575"/>
    <w:rsid w:val="00EA2A94"/>
    <w:rsid w:val="00EE6BE2"/>
    <w:rsid w:val="00F109E0"/>
    <w:rsid w:val="00F779A9"/>
    <w:rsid w:val="00FA6BAC"/>
    <w:rsid w:val="00FA77E7"/>
    <w:rsid w:val="00FD2DFC"/>
    <w:rsid w:val="0FF1BCDD"/>
    <w:rsid w:val="1488FA52"/>
    <w:rsid w:val="21D81C0A"/>
    <w:rsid w:val="4375D63D"/>
    <w:rsid w:val="4CE715DF"/>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 w:type="table" w:styleId="TableGrid">
    <w:name w:val="Table Grid"/>
    <w:basedOn w:val="TableNormal"/>
    <w:uiPriority w:val="39"/>
    <w:rsid w:val="0005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8D4E-E5BF-4FA7-BFF5-176CFCA4155D}">
  <ds:schemaRef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f02ba75f-b561-4f6e-9550-d0f816c2dcc2"/>
    <ds:schemaRef ds:uri="9085dc96-1cc8-4ce6-870c-27a430893eb3"/>
    <ds:schemaRef ds:uri="http://schemas.microsoft.com/office/2006/metadata/properties"/>
  </ds:schemaRefs>
</ds:datastoreItem>
</file>

<file path=customXml/itemProps2.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3.xml><?xml version="1.0" encoding="utf-8"?>
<ds:datastoreItem xmlns:ds="http://schemas.openxmlformats.org/officeDocument/2006/customXml" ds:itemID="{FDC68304-9B89-492A-8316-525CEA878D08}"/>
</file>

<file path=customXml/itemProps4.xml><?xml version="1.0" encoding="utf-8"?>
<ds:datastoreItem xmlns:ds="http://schemas.openxmlformats.org/officeDocument/2006/customXml" ds:itemID="{A651C614-21BA-4B36-ACC7-5E84819E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PCI-DSS Procedure</dc:title>
  <dc:subject/>
  <dc:creator>Christy Johnston</dc:creator>
  <cp:keywords/>
  <dc:description/>
  <cp:lastModifiedBy>Christy Johnston</cp:lastModifiedBy>
  <cp:revision>11</cp:revision>
  <cp:lastPrinted>2016-10-28T20:38:00Z</cp:lastPrinted>
  <dcterms:created xsi:type="dcterms:W3CDTF">2017-02-06T23:34:00Z</dcterms:created>
  <dcterms:modified xsi:type="dcterms:W3CDTF">2017-12-07T22:00:00Z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